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FF" w:rsidRDefault="00980910">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茶质量科普馆内容设计项目采购需求</w:t>
      </w:r>
    </w:p>
    <w:p w:rsidR="008357FF" w:rsidRDefault="008357FF">
      <w:pPr>
        <w:ind w:firstLineChars="0" w:firstLine="0"/>
        <w:jc w:val="center"/>
        <w:rPr>
          <w:rFonts w:cs="仿宋"/>
          <w:b/>
          <w:bCs/>
          <w:sz w:val="36"/>
          <w:szCs w:val="36"/>
        </w:rPr>
      </w:pPr>
    </w:p>
    <w:p w:rsidR="008357FF" w:rsidRDefault="00980910">
      <w:pPr>
        <w:pStyle w:val="ac"/>
        <w:numPr>
          <w:ilvl w:val="0"/>
          <w:numId w:val="1"/>
        </w:numPr>
        <w:ind w:firstLineChars="0"/>
        <w:rPr>
          <w:b/>
          <w:bCs/>
        </w:rPr>
      </w:pPr>
      <w:r>
        <w:rPr>
          <w:rFonts w:hint="eastAsia"/>
          <w:b/>
          <w:bCs/>
        </w:rPr>
        <w:t>项目概况</w:t>
      </w:r>
    </w:p>
    <w:p w:rsidR="008357FF" w:rsidRDefault="00980910">
      <w:r>
        <w:rPr>
          <w:rFonts w:hint="eastAsia"/>
        </w:rPr>
        <w:t>福建省产品质量检验研究院计划开展“茶质量科普馆”内容设计项目。本项目旨在为科普馆的建设提供核心内容支撑，通过系统化的文案策划与脚本撰写，全面展现茶叶质量评价、质量控制和质量监管等各个方面，突出“质量安全、科学认知、产业赋能”的主题。</w:t>
      </w:r>
    </w:p>
    <w:p w:rsidR="008357FF" w:rsidRDefault="00980910">
      <w:r>
        <w:rPr>
          <w:rFonts w:hint="eastAsia"/>
        </w:rPr>
        <w:t>1、项目名称：茶质量科普馆内容设计</w:t>
      </w:r>
    </w:p>
    <w:p w:rsidR="008357FF" w:rsidRDefault="00980910">
      <w:r>
        <w:rPr>
          <w:rFonts w:hint="eastAsia"/>
        </w:rPr>
        <w:t>2、主要内容：内容策划、脚本撰写及展项创意文字描述。</w:t>
      </w:r>
    </w:p>
    <w:p w:rsidR="008357FF" w:rsidRDefault="00980910">
      <w:r>
        <w:rPr>
          <w:rFonts w:hint="eastAsia"/>
        </w:rPr>
        <w:t>3、服务目标：承接方需交付一套逻辑严密、科学准确、文风生动且具备落地可行性的全馆展陈大纲及详细文案脚本。</w:t>
      </w:r>
    </w:p>
    <w:p w:rsidR="008357FF" w:rsidRDefault="00980910">
      <w:r>
        <w:rPr>
          <w:rFonts w:hint="eastAsia"/>
        </w:rPr>
        <w:t>4、项目预算：人民币肆万元整（￥40,000）</w:t>
      </w:r>
    </w:p>
    <w:p w:rsidR="008357FF" w:rsidRDefault="008357FF"/>
    <w:p w:rsidR="008357FF" w:rsidRDefault="00980910">
      <w:pPr>
        <w:pStyle w:val="ac"/>
        <w:numPr>
          <w:ilvl w:val="0"/>
          <w:numId w:val="1"/>
        </w:numPr>
        <w:ind w:firstLineChars="0"/>
      </w:pPr>
      <w:r>
        <w:rPr>
          <w:rFonts w:hint="eastAsia"/>
          <w:b/>
          <w:bCs/>
        </w:rPr>
        <w:t>内容设计服务要求</w:t>
      </w:r>
    </w:p>
    <w:tbl>
      <w:tblPr>
        <w:tblStyle w:val="ab"/>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5"/>
        <w:gridCol w:w="5834"/>
      </w:tblGrid>
      <w:tr w:rsidR="008357FF">
        <w:trPr>
          <w:jc w:val="center"/>
        </w:trPr>
        <w:tc>
          <w:tcPr>
            <w:tcW w:w="1555" w:type="dxa"/>
            <w:vAlign w:val="center"/>
          </w:tcPr>
          <w:p w:rsidR="008357FF" w:rsidRDefault="00980910">
            <w:pPr>
              <w:widowControl w:val="0"/>
              <w:spacing w:line="360" w:lineRule="auto"/>
              <w:ind w:firstLineChars="0" w:firstLine="200"/>
              <w:jc w:val="center"/>
              <w:rPr>
                <w:rFonts w:ascii="Times New Roman" w:eastAsia="仿宋_GB2312" w:hAnsi="Times New Roman"/>
                <w:b/>
                <w:bCs/>
                <w:kern w:val="2"/>
                <w14:ligatures w14:val="standardContextual"/>
              </w:rPr>
            </w:pPr>
            <w:r>
              <w:rPr>
                <w:rFonts w:ascii="Times New Roman" w:eastAsia="仿宋_GB2312" w:hAnsi="Times New Roman" w:hint="eastAsia"/>
                <w:b/>
                <w:bCs/>
                <w:kern w:val="2"/>
                <w14:ligatures w14:val="standardContextual"/>
              </w:rPr>
              <w:t>序号</w:t>
            </w:r>
          </w:p>
        </w:tc>
        <w:tc>
          <w:tcPr>
            <w:tcW w:w="1555" w:type="dxa"/>
            <w:vAlign w:val="center"/>
          </w:tcPr>
          <w:p w:rsidR="008357FF" w:rsidRDefault="00980910">
            <w:pPr>
              <w:widowControl w:val="0"/>
              <w:spacing w:line="360" w:lineRule="auto"/>
              <w:ind w:firstLineChars="0" w:firstLine="200"/>
              <w:jc w:val="center"/>
              <w:rPr>
                <w:rFonts w:ascii="Times New Roman" w:eastAsia="仿宋_GB2312" w:hAnsi="Times New Roman"/>
                <w:b/>
                <w:bCs/>
                <w:kern w:val="2"/>
                <w14:ligatures w14:val="standardContextual"/>
              </w:rPr>
            </w:pPr>
            <w:r>
              <w:rPr>
                <w:rFonts w:ascii="Times New Roman" w:eastAsia="仿宋_GB2312" w:hAnsi="Times New Roman"/>
                <w:b/>
                <w:bCs/>
                <w:kern w:val="2"/>
                <w14:ligatures w14:val="standardContextual"/>
              </w:rPr>
              <w:t>项目</w:t>
            </w:r>
          </w:p>
        </w:tc>
        <w:tc>
          <w:tcPr>
            <w:tcW w:w="5834" w:type="dxa"/>
            <w:vAlign w:val="center"/>
          </w:tcPr>
          <w:p w:rsidR="008357FF" w:rsidRDefault="00980910">
            <w:pPr>
              <w:widowControl w:val="0"/>
              <w:spacing w:line="360" w:lineRule="auto"/>
              <w:ind w:firstLineChars="0" w:firstLine="200"/>
              <w:jc w:val="center"/>
              <w:rPr>
                <w:rFonts w:ascii="Times New Roman" w:eastAsia="仿宋_GB2312" w:hAnsi="Times New Roman"/>
                <w:b/>
                <w:bCs/>
                <w:kern w:val="2"/>
                <w14:ligatures w14:val="standardContextual"/>
              </w:rPr>
            </w:pPr>
            <w:r>
              <w:rPr>
                <w:rFonts w:ascii="Times New Roman" w:eastAsia="仿宋_GB2312" w:hAnsi="Times New Roman"/>
                <w:b/>
                <w:bCs/>
                <w:kern w:val="2"/>
                <w14:ligatures w14:val="standardContextual"/>
              </w:rPr>
              <w:t>具体要求</w:t>
            </w:r>
          </w:p>
        </w:tc>
      </w:tr>
      <w:tr w:rsidR="008357FF">
        <w:trPr>
          <w:jc w:val="center"/>
        </w:trPr>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b/>
                <w:bCs/>
                <w:kern w:val="2"/>
                <w14:ligatures w14:val="standardContextual"/>
              </w:rPr>
            </w:pPr>
            <w:r>
              <w:rPr>
                <w:rFonts w:ascii="Times New Roman" w:eastAsia="仿宋_GB2312" w:hAnsi="Times New Roman" w:hint="eastAsia"/>
                <w:b/>
                <w:bCs/>
                <w:kern w:val="2"/>
                <w14:ligatures w14:val="standardContextual"/>
              </w:rPr>
              <w:t>1</w:t>
            </w:r>
          </w:p>
        </w:tc>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kern w:val="2"/>
                <w14:ligatures w14:val="standardContextual"/>
              </w:rPr>
            </w:pPr>
            <w:r>
              <w:rPr>
                <w:rFonts w:ascii="Times New Roman" w:eastAsia="仿宋_GB2312" w:hAnsi="Times New Roman"/>
                <w:b/>
                <w:bCs/>
                <w:kern w:val="2"/>
                <w14:ligatures w14:val="standardContextual"/>
              </w:rPr>
              <w:t>整体要求</w:t>
            </w:r>
          </w:p>
        </w:tc>
        <w:tc>
          <w:tcPr>
            <w:tcW w:w="5834" w:type="dxa"/>
            <w:vAlign w:val="center"/>
          </w:tcPr>
          <w:p w:rsidR="008357FF" w:rsidRDefault="00980910">
            <w:pPr>
              <w:widowControl w:val="0"/>
              <w:spacing w:line="360" w:lineRule="auto"/>
              <w:ind w:firstLineChars="0" w:firstLine="0"/>
              <w:jc w:val="both"/>
              <w:rPr>
                <w:rFonts w:ascii="Times New Roman" w:eastAsia="仿宋_GB2312" w:hAnsi="Times New Roman"/>
                <w:kern w:val="2"/>
                <w14:ligatures w14:val="standardContextual"/>
              </w:rPr>
            </w:pPr>
            <w:r>
              <w:rPr>
                <w:rFonts w:ascii="Times New Roman" w:eastAsia="仿宋_GB2312" w:hAnsi="Times New Roman"/>
                <w:color w:val="0F1115"/>
                <w:kern w:val="2"/>
                <w:shd w:val="clear" w:color="auto" w:fill="FFFFFF"/>
                <w14:ligatures w14:val="standardContextual"/>
              </w:rPr>
              <w:t>承接方需基于采购人提供的基础资料，进行资料梳理、学术考证与创意加工，形成完整的展陈内容方案。内容需覆盖</w:t>
            </w:r>
            <w:r>
              <w:rPr>
                <w:rFonts w:ascii="Times New Roman" w:eastAsia="仿宋_GB2312" w:hAnsi="Times New Roman"/>
                <w:color w:val="0F1115"/>
                <w:kern w:val="2"/>
                <w:shd w:val="clear" w:color="auto" w:fill="FFFFFF"/>
                <w14:ligatures w14:val="standardContextual"/>
              </w:rPr>
              <w:t>“</w:t>
            </w:r>
            <w:r>
              <w:rPr>
                <w:rFonts w:ascii="Times New Roman" w:eastAsia="仿宋_GB2312" w:hAnsi="Times New Roman"/>
                <w:color w:val="0F1115"/>
                <w:kern w:val="2"/>
                <w:shd w:val="clear" w:color="auto" w:fill="FFFFFF"/>
                <w14:ligatures w14:val="standardContextual"/>
              </w:rPr>
              <w:t>序厅</w:t>
            </w:r>
            <w:r>
              <w:rPr>
                <w:rFonts w:ascii="Times New Roman" w:eastAsia="仿宋_GB2312" w:hAnsi="Times New Roman"/>
                <w:color w:val="0F1115"/>
                <w:kern w:val="2"/>
                <w:shd w:val="clear" w:color="auto" w:fill="FFFFFF"/>
                <w14:ligatures w14:val="standardContextual"/>
              </w:rPr>
              <w:t>—</w:t>
            </w:r>
            <w:r>
              <w:rPr>
                <w:rFonts w:ascii="Times New Roman" w:eastAsia="仿宋_GB2312" w:hAnsi="Times New Roman"/>
                <w:color w:val="0F1115"/>
                <w:kern w:val="2"/>
                <w:shd w:val="clear" w:color="auto" w:fill="FFFFFF"/>
                <w14:ligatures w14:val="standardContextual"/>
              </w:rPr>
              <w:t>六大主题展区</w:t>
            </w:r>
            <w:r>
              <w:rPr>
                <w:rFonts w:ascii="Times New Roman" w:eastAsia="仿宋_GB2312" w:hAnsi="Times New Roman"/>
                <w:color w:val="0F1115"/>
                <w:kern w:val="2"/>
                <w:shd w:val="clear" w:color="auto" w:fill="FFFFFF"/>
                <w14:ligatures w14:val="standardContextual"/>
              </w:rPr>
              <w:t>—</w:t>
            </w:r>
            <w:r>
              <w:rPr>
                <w:rFonts w:ascii="Times New Roman" w:eastAsia="仿宋_GB2312" w:hAnsi="Times New Roman"/>
                <w:color w:val="0F1115"/>
                <w:kern w:val="2"/>
                <w:shd w:val="clear" w:color="auto" w:fill="FFFFFF"/>
                <w14:ligatures w14:val="standardContextual"/>
              </w:rPr>
              <w:t>尾厅</w:t>
            </w:r>
            <w:r>
              <w:rPr>
                <w:rFonts w:ascii="Times New Roman" w:eastAsia="仿宋_GB2312" w:hAnsi="Times New Roman"/>
                <w:color w:val="0F1115"/>
                <w:kern w:val="2"/>
                <w:shd w:val="clear" w:color="auto" w:fill="FFFFFF"/>
                <w14:ligatures w14:val="standardContextual"/>
              </w:rPr>
              <w:t>”</w:t>
            </w:r>
            <w:r>
              <w:rPr>
                <w:rFonts w:ascii="Times New Roman" w:eastAsia="仿宋_GB2312" w:hAnsi="Times New Roman"/>
                <w:color w:val="0F1115"/>
                <w:kern w:val="2"/>
                <w:shd w:val="clear" w:color="auto" w:fill="FFFFFF"/>
                <w14:ligatures w14:val="standardContextual"/>
              </w:rPr>
              <w:t>全流程。</w:t>
            </w:r>
          </w:p>
        </w:tc>
      </w:tr>
      <w:tr w:rsidR="008357FF">
        <w:trPr>
          <w:jc w:val="center"/>
        </w:trPr>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b/>
                <w:bCs/>
                <w:kern w:val="2"/>
                <w14:ligatures w14:val="standardContextual"/>
              </w:rPr>
            </w:pPr>
            <w:r>
              <w:rPr>
                <w:rFonts w:ascii="Times New Roman" w:eastAsia="仿宋_GB2312" w:hAnsi="Times New Roman" w:hint="eastAsia"/>
                <w:b/>
                <w:bCs/>
                <w:kern w:val="2"/>
                <w14:ligatures w14:val="standardContextual"/>
              </w:rPr>
              <w:t>2</w:t>
            </w:r>
          </w:p>
        </w:tc>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kern w:val="2"/>
                <w14:ligatures w14:val="standardContextual"/>
              </w:rPr>
            </w:pPr>
            <w:r>
              <w:rPr>
                <w:rFonts w:ascii="Times New Roman" w:eastAsia="仿宋_GB2312" w:hAnsi="Times New Roman"/>
                <w:b/>
                <w:bCs/>
                <w:kern w:val="2"/>
                <w14:ligatures w14:val="standardContextual"/>
              </w:rPr>
              <w:t>具体工作内容</w:t>
            </w:r>
          </w:p>
        </w:tc>
        <w:tc>
          <w:tcPr>
            <w:tcW w:w="5834" w:type="dxa"/>
            <w:vAlign w:val="center"/>
          </w:tcPr>
          <w:p w:rsidR="008357FF" w:rsidRDefault="00980910">
            <w:pPr>
              <w:widowControl w:val="0"/>
              <w:spacing w:line="360" w:lineRule="auto"/>
              <w:ind w:firstLineChars="0" w:firstLine="0"/>
              <w:jc w:val="both"/>
              <w:rPr>
                <w:rFonts w:ascii="Times New Roman" w:eastAsia="仿宋_GB2312" w:hAnsi="Times New Roman"/>
                <w:color w:val="0F1115"/>
                <w:kern w:val="2"/>
                <w14:ligatures w14:val="standardContextual"/>
              </w:rPr>
            </w:pPr>
            <w:r>
              <w:rPr>
                <w:rFonts w:ascii="Times New Roman" w:eastAsia="仿宋_GB2312" w:hAnsi="Times New Roman"/>
                <w:color w:val="0F1115"/>
                <w:kern w:val="2"/>
                <w14:ligatures w14:val="standardContextual"/>
              </w:rPr>
              <w:t>1</w:t>
            </w:r>
            <w:r>
              <w:rPr>
                <w:rFonts w:ascii="Times New Roman" w:eastAsia="仿宋_GB2312" w:hAnsi="Times New Roman"/>
                <w:color w:val="0F1115"/>
                <w:kern w:val="2"/>
                <w14:ligatures w14:val="standardContextual"/>
              </w:rPr>
              <w:t>、展陈大纲策划：构建全馆叙事逻辑，确立各级标题；规划合理的展陈部分。</w:t>
            </w:r>
          </w:p>
          <w:p w:rsidR="008357FF" w:rsidRDefault="00980910">
            <w:pPr>
              <w:widowControl w:val="0"/>
              <w:spacing w:line="360" w:lineRule="auto"/>
              <w:ind w:firstLineChars="0" w:firstLine="0"/>
              <w:jc w:val="both"/>
              <w:rPr>
                <w:rFonts w:ascii="Times New Roman" w:eastAsia="仿宋_GB2312" w:hAnsi="Times New Roman"/>
                <w:color w:val="0F1115"/>
                <w:kern w:val="2"/>
                <w14:ligatures w14:val="standardContextual"/>
              </w:rPr>
            </w:pPr>
            <w:r>
              <w:rPr>
                <w:rFonts w:ascii="Times New Roman" w:eastAsia="仿宋_GB2312" w:hAnsi="Times New Roman"/>
                <w:color w:val="0F1115"/>
                <w:kern w:val="2"/>
                <w14:ligatures w14:val="standardContextual"/>
              </w:rPr>
              <w:t>2</w:t>
            </w:r>
            <w:r>
              <w:rPr>
                <w:rFonts w:ascii="Times New Roman" w:eastAsia="仿宋_GB2312" w:hAnsi="Times New Roman"/>
                <w:color w:val="0F1115"/>
                <w:kern w:val="2"/>
                <w14:ligatures w14:val="standardContextual"/>
              </w:rPr>
              <w:t>、详细上墙文案撰写：撰写全馆所有的版面文字，包括但不限于：单元导语、版面标题、正文介绍、图注文字、展品说明牌等。</w:t>
            </w:r>
          </w:p>
          <w:p w:rsidR="008357FF" w:rsidRDefault="00980910">
            <w:pPr>
              <w:widowControl w:val="0"/>
              <w:spacing w:line="360" w:lineRule="auto"/>
              <w:ind w:firstLineChars="0" w:firstLine="0"/>
              <w:jc w:val="both"/>
              <w:rPr>
                <w:rFonts w:ascii="Times New Roman" w:eastAsia="仿宋_GB2312" w:hAnsi="Times New Roman"/>
                <w:kern w:val="2"/>
                <w14:ligatures w14:val="standardContextual"/>
              </w:rPr>
            </w:pPr>
            <w:r>
              <w:rPr>
                <w:rFonts w:ascii="Times New Roman" w:eastAsia="仿宋_GB2312" w:hAnsi="Times New Roman"/>
                <w:kern w:val="2"/>
                <w14:ligatures w14:val="standardContextual"/>
              </w:rPr>
              <w:t>3</w:t>
            </w:r>
            <w:r>
              <w:rPr>
                <w:rFonts w:ascii="Times New Roman" w:eastAsia="仿宋_GB2312" w:hAnsi="Times New Roman"/>
                <w:kern w:val="2"/>
                <w14:ligatures w14:val="standardContextual"/>
              </w:rPr>
              <w:t>、互动展项创意策划（文字脚本）、提供互动展项（如触摸屏、机械装置）的玩法描述与逻辑设计、提供展示展品建议和内容说明等。</w:t>
            </w:r>
          </w:p>
        </w:tc>
      </w:tr>
      <w:tr w:rsidR="008357FF">
        <w:trPr>
          <w:jc w:val="center"/>
        </w:trPr>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b/>
                <w:bCs/>
                <w:color w:val="0F1115"/>
                <w:kern w:val="2"/>
                <w14:ligatures w14:val="standardContextual"/>
              </w:rPr>
            </w:pPr>
            <w:r>
              <w:rPr>
                <w:rFonts w:ascii="Times New Roman" w:eastAsia="仿宋_GB2312" w:hAnsi="Times New Roman" w:hint="eastAsia"/>
                <w:b/>
                <w:bCs/>
                <w:color w:val="0F1115"/>
                <w:kern w:val="2"/>
                <w14:ligatures w14:val="standardContextual"/>
              </w:rPr>
              <w:t>3</w:t>
            </w:r>
          </w:p>
        </w:tc>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b/>
                <w:bCs/>
                <w:color w:val="0F1115"/>
                <w:kern w:val="2"/>
                <w14:ligatures w14:val="standardContextual"/>
              </w:rPr>
            </w:pPr>
            <w:r>
              <w:rPr>
                <w:rFonts w:ascii="Times New Roman" w:eastAsia="仿宋_GB2312" w:hAnsi="Times New Roman"/>
                <w:b/>
                <w:bCs/>
                <w:color w:val="0F1115"/>
                <w:kern w:val="2"/>
                <w14:ligatures w14:val="standardContextual"/>
              </w:rPr>
              <w:t>信息</w:t>
            </w:r>
          </w:p>
          <w:p w:rsidR="008357FF" w:rsidRDefault="00980910">
            <w:pPr>
              <w:widowControl w:val="0"/>
              <w:spacing w:line="360" w:lineRule="auto"/>
              <w:ind w:firstLineChars="0" w:firstLine="0"/>
              <w:jc w:val="center"/>
              <w:rPr>
                <w:rFonts w:ascii="Times New Roman" w:eastAsia="仿宋_GB2312" w:hAnsi="Times New Roman"/>
                <w:kern w:val="2"/>
                <w14:ligatures w14:val="standardContextual"/>
              </w:rPr>
            </w:pPr>
            <w:r>
              <w:rPr>
                <w:rFonts w:ascii="Times New Roman" w:eastAsia="仿宋_GB2312" w:hAnsi="Times New Roman"/>
                <w:b/>
                <w:bCs/>
                <w:color w:val="0F1115"/>
                <w:kern w:val="2"/>
                <w14:ligatures w14:val="standardContextual"/>
              </w:rPr>
              <w:t>准确性</w:t>
            </w:r>
          </w:p>
        </w:tc>
        <w:tc>
          <w:tcPr>
            <w:tcW w:w="5834" w:type="dxa"/>
            <w:vAlign w:val="center"/>
          </w:tcPr>
          <w:p w:rsidR="008357FF" w:rsidRDefault="00980910">
            <w:pPr>
              <w:widowControl w:val="0"/>
              <w:spacing w:line="360" w:lineRule="auto"/>
              <w:ind w:firstLineChars="0" w:firstLine="0"/>
              <w:jc w:val="both"/>
              <w:rPr>
                <w:rFonts w:ascii="Times New Roman" w:eastAsia="仿宋_GB2312" w:hAnsi="Times New Roman"/>
                <w:kern w:val="2"/>
                <w14:ligatures w14:val="standardContextual"/>
              </w:rPr>
            </w:pPr>
            <w:r>
              <w:rPr>
                <w:rFonts w:ascii="Times New Roman" w:eastAsia="仿宋_GB2312" w:hAnsi="Times New Roman"/>
                <w:color w:val="0F1115"/>
                <w:kern w:val="2"/>
                <w:shd w:val="clear" w:color="auto" w:fill="FFFFFF"/>
                <w14:ligatures w14:val="standardContextual"/>
              </w:rPr>
              <w:t>所有内容需严格依据提供的资料来源（如国际标准、政策文件、权威教材、行业数据、权威博物馆信息等），确保科学性与权威性。</w:t>
            </w:r>
          </w:p>
        </w:tc>
      </w:tr>
      <w:tr w:rsidR="008357FF">
        <w:trPr>
          <w:jc w:val="center"/>
        </w:trPr>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b/>
                <w:bCs/>
                <w:color w:val="0F1115"/>
                <w:kern w:val="2"/>
                <w14:ligatures w14:val="standardContextual"/>
              </w:rPr>
            </w:pPr>
            <w:r>
              <w:rPr>
                <w:rFonts w:ascii="Times New Roman" w:eastAsia="仿宋_GB2312" w:hAnsi="Times New Roman" w:hint="eastAsia"/>
                <w:b/>
                <w:bCs/>
                <w:color w:val="0F1115"/>
                <w:kern w:val="2"/>
                <w14:ligatures w14:val="standardContextual"/>
              </w:rPr>
              <w:t>4</w:t>
            </w:r>
          </w:p>
        </w:tc>
        <w:tc>
          <w:tcPr>
            <w:tcW w:w="1555" w:type="dxa"/>
            <w:vAlign w:val="center"/>
          </w:tcPr>
          <w:p w:rsidR="008357FF" w:rsidRDefault="00980910">
            <w:pPr>
              <w:widowControl w:val="0"/>
              <w:spacing w:line="360" w:lineRule="auto"/>
              <w:ind w:firstLineChars="0" w:firstLine="0"/>
              <w:jc w:val="center"/>
              <w:rPr>
                <w:rFonts w:ascii="Times New Roman" w:eastAsia="仿宋_GB2312" w:hAnsi="Times New Roman"/>
                <w:kern w:val="2"/>
                <w14:ligatures w14:val="standardContextual"/>
              </w:rPr>
            </w:pPr>
            <w:r>
              <w:rPr>
                <w:rFonts w:ascii="Times New Roman" w:eastAsia="仿宋_GB2312" w:hAnsi="Times New Roman"/>
                <w:b/>
                <w:bCs/>
                <w:color w:val="0F1115"/>
                <w:kern w:val="2"/>
                <w14:ligatures w14:val="standardContextual"/>
              </w:rPr>
              <w:t>文案风格</w:t>
            </w:r>
          </w:p>
        </w:tc>
        <w:tc>
          <w:tcPr>
            <w:tcW w:w="5834" w:type="dxa"/>
            <w:vAlign w:val="center"/>
          </w:tcPr>
          <w:p w:rsidR="008357FF" w:rsidRDefault="00980910">
            <w:pPr>
              <w:widowControl w:val="0"/>
              <w:spacing w:line="360" w:lineRule="auto"/>
              <w:ind w:firstLineChars="0" w:firstLine="0"/>
              <w:jc w:val="both"/>
              <w:rPr>
                <w:rFonts w:ascii="Times New Roman" w:eastAsia="仿宋_GB2312" w:hAnsi="Times New Roman"/>
                <w:kern w:val="2"/>
                <w14:ligatures w14:val="standardContextual"/>
              </w:rPr>
            </w:pPr>
            <w:r>
              <w:rPr>
                <w:rFonts w:ascii="Times New Roman" w:eastAsia="仿宋_GB2312" w:hAnsi="Times New Roman"/>
                <w:color w:val="0F1115"/>
                <w:kern w:val="2"/>
                <w:shd w:val="clear" w:color="auto" w:fill="FFFFFF"/>
                <w14:ligatures w14:val="standardContextual"/>
              </w:rPr>
              <w:t>语言通俗易懂、富有感染力，兼具科普性与宣传性，符合展馆整体调性。</w:t>
            </w:r>
          </w:p>
        </w:tc>
      </w:tr>
    </w:tbl>
    <w:p w:rsidR="008357FF" w:rsidRDefault="008357FF">
      <w:pPr>
        <w:numPr>
          <w:ilvl w:val="255"/>
          <w:numId w:val="0"/>
        </w:numPr>
        <w:spacing w:line="480" w:lineRule="auto"/>
        <w:ind w:left="848"/>
        <w:jc w:val="both"/>
        <w:rPr>
          <w:rFonts w:cs="仿宋"/>
        </w:rPr>
      </w:pPr>
    </w:p>
    <w:p w:rsidR="008357FF" w:rsidRDefault="00980910">
      <w:pPr>
        <w:pStyle w:val="ac"/>
        <w:numPr>
          <w:ilvl w:val="0"/>
          <w:numId w:val="1"/>
        </w:numPr>
        <w:ind w:firstLineChars="0"/>
        <w:rPr>
          <w:b/>
          <w:bCs/>
        </w:rPr>
      </w:pPr>
      <w:r>
        <w:rPr>
          <w:rFonts w:hint="eastAsia"/>
          <w:b/>
          <w:bCs/>
        </w:rPr>
        <w:t>评分办法</w:t>
      </w:r>
    </w:p>
    <w:p w:rsidR="008357FF" w:rsidRDefault="00980910">
      <w:pPr>
        <w:spacing w:line="560" w:lineRule="exact"/>
        <w:ind w:firstLineChars="0" w:firstLine="0"/>
        <w:jc w:val="both"/>
        <w:rPr>
          <w:rFonts w:ascii="Times New Roman" w:eastAsia="仿宋_GB2312" w:hAnsi="Times New Roman"/>
          <w:b/>
          <w:bCs/>
          <w:highlight w:val="yellow"/>
        </w:rPr>
      </w:pPr>
      <w:r>
        <w:rPr>
          <w:rFonts w:ascii="Times New Roman" w:eastAsia="仿宋_GB2312" w:hAnsi="Times New Roman"/>
          <w:b/>
          <w:bCs/>
          <w:highlight w:val="yellow"/>
        </w:rPr>
        <w:t>（一）</w:t>
      </w:r>
      <w:r>
        <w:rPr>
          <w:rFonts w:ascii="Times New Roman" w:eastAsia="仿宋_GB2312" w:hAnsi="Times New Roman" w:hint="eastAsia"/>
          <w:b/>
          <w:bCs/>
          <w:highlight w:val="yellow"/>
        </w:rPr>
        <w:t>F1</w:t>
      </w:r>
      <w:r>
        <w:rPr>
          <w:rFonts w:ascii="Times New Roman" w:eastAsia="仿宋_GB2312" w:hAnsi="Times New Roman"/>
          <w:b/>
          <w:bCs/>
          <w:highlight w:val="yellow"/>
        </w:rPr>
        <w:t>技术部分（</w:t>
      </w:r>
      <w:r>
        <w:rPr>
          <w:rFonts w:ascii="Times New Roman" w:eastAsia="仿宋_GB2312" w:hAnsi="Times New Roman" w:hint="eastAsia"/>
          <w:b/>
          <w:bCs/>
          <w:highlight w:val="yellow"/>
        </w:rPr>
        <w:t>55</w:t>
      </w:r>
      <w:r>
        <w:rPr>
          <w:rFonts w:ascii="Times New Roman" w:eastAsia="仿宋_GB2312" w:hAnsi="Times New Roman"/>
          <w:b/>
          <w:bCs/>
          <w:highlight w:val="yellow"/>
        </w:rPr>
        <w:t>分）</w:t>
      </w:r>
    </w:p>
    <w:p w:rsidR="008357FF" w:rsidRDefault="00980910">
      <w:pPr>
        <w:numPr>
          <w:ilvl w:val="255"/>
          <w:numId w:val="0"/>
        </w:numPr>
        <w:jc w:val="both"/>
        <w:rPr>
          <w:rFonts w:ascii="Times New Roman" w:eastAsia="仿宋_GB2312" w:hAnsi="Times New Roman"/>
          <w:b/>
          <w:bCs/>
        </w:rPr>
      </w:pPr>
      <w:r>
        <w:rPr>
          <w:rFonts w:ascii="Times New Roman" w:eastAsia="仿宋_GB2312" w:hAnsi="Times New Roman"/>
          <w:b/>
          <w:bCs/>
        </w:rPr>
        <w:t>1</w:t>
      </w:r>
      <w:r>
        <w:rPr>
          <w:rFonts w:ascii="Times New Roman" w:eastAsia="仿宋_GB2312" w:hAnsi="Times New Roman"/>
          <w:b/>
          <w:bCs/>
        </w:rPr>
        <w:t>、技术和服务要求响应情况（</w:t>
      </w:r>
      <w:r>
        <w:rPr>
          <w:rFonts w:ascii="Times New Roman" w:eastAsia="仿宋_GB2312" w:hAnsi="Times New Roman" w:hint="eastAsia"/>
          <w:b/>
          <w:bCs/>
        </w:rPr>
        <w:t>20</w:t>
      </w:r>
      <w:r>
        <w:rPr>
          <w:rFonts w:ascii="Times New Roman" w:eastAsia="仿宋_GB2312" w:hAnsi="Times New Roman"/>
          <w:b/>
          <w:bCs/>
        </w:rPr>
        <w:t>分）</w:t>
      </w:r>
    </w:p>
    <w:p w:rsidR="008357FF" w:rsidRDefault="00980910">
      <w:pPr>
        <w:rPr>
          <w:rFonts w:ascii="Times New Roman" w:eastAsia="仿宋_GB2312" w:hAnsi="Times New Roman"/>
        </w:rPr>
      </w:pPr>
      <w:r>
        <w:rPr>
          <w:rFonts w:ascii="Times New Roman" w:eastAsia="仿宋_GB2312" w:hAnsi="Times New Roman"/>
        </w:rPr>
        <w:t>根据各投标人对采购需求中</w:t>
      </w:r>
      <w:r>
        <w:rPr>
          <w:rFonts w:ascii="Times New Roman" w:eastAsia="仿宋_GB2312" w:hAnsi="Times New Roman"/>
        </w:rPr>
        <w:t>“</w:t>
      </w:r>
      <w:r>
        <w:rPr>
          <w:rFonts w:hint="eastAsia"/>
          <w:b/>
          <w:bCs/>
        </w:rPr>
        <w:t>内容设计服务要求</w:t>
      </w:r>
      <w:r>
        <w:rPr>
          <w:rFonts w:ascii="Times New Roman" w:eastAsia="仿宋_GB2312" w:hAnsi="Times New Roman"/>
        </w:rPr>
        <w:t>”</w:t>
      </w:r>
      <w:r>
        <w:rPr>
          <w:rFonts w:ascii="Times New Roman" w:eastAsia="仿宋_GB2312" w:hAnsi="Times New Roman"/>
        </w:rPr>
        <w:t>各项条款内容的承诺响应情况，由评标委员会进行评议并评分，完全满足招标文件要求的得</w:t>
      </w:r>
      <w:r>
        <w:rPr>
          <w:rFonts w:ascii="Times New Roman" w:eastAsia="仿宋_GB2312" w:hAnsi="Times New Roman" w:hint="eastAsia"/>
        </w:rPr>
        <w:t>20</w:t>
      </w:r>
      <w:r>
        <w:rPr>
          <w:rFonts w:ascii="Times New Roman" w:eastAsia="仿宋_GB2312" w:hAnsi="Times New Roman"/>
        </w:rPr>
        <w:t>分。共</w:t>
      </w:r>
      <w:r>
        <w:rPr>
          <w:rFonts w:ascii="Times New Roman" w:eastAsia="仿宋_GB2312" w:hAnsi="Times New Roman" w:hint="eastAsia"/>
        </w:rPr>
        <w:t>4</w:t>
      </w:r>
      <w:r>
        <w:rPr>
          <w:rFonts w:ascii="Times New Roman" w:eastAsia="仿宋_GB2312" w:hAnsi="Times New Roman"/>
        </w:rPr>
        <w:t>项，每负偏离一项扣</w:t>
      </w:r>
      <w:r>
        <w:rPr>
          <w:rFonts w:ascii="Times New Roman" w:eastAsia="仿宋_GB2312" w:hAnsi="Times New Roman" w:hint="eastAsia"/>
        </w:rPr>
        <w:t>5</w:t>
      </w:r>
      <w:r>
        <w:rPr>
          <w:rFonts w:ascii="Times New Roman" w:eastAsia="仿宋_GB2312" w:hAnsi="Times New Roman"/>
        </w:rPr>
        <w:t>分，满分</w:t>
      </w:r>
      <w:r>
        <w:rPr>
          <w:rFonts w:ascii="Times New Roman" w:eastAsia="仿宋_GB2312" w:hAnsi="Times New Roman" w:hint="eastAsia"/>
        </w:rPr>
        <w:t>20</w:t>
      </w:r>
      <w:r>
        <w:rPr>
          <w:rFonts w:ascii="Times New Roman" w:eastAsia="仿宋_GB2312" w:hAnsi="Times New Roman"/>
        </w:rPr>
        <w:t>分，正偏离不加分。</w:t>
      </w:r>
    </w:p>
    <w:p w:rsidR="008357FF" w:rsidRDefault="00980910">
      <w:pPr>
        <w:spacing w:line="560" w:lineRule="exact"/>
        <w:ind w:firstLineChars="0" w:firstLine="0"/>
        <w:jc w:val="both"/>
        <w:rPr>
          <w:rFonts w:ascii="Times New Roman" w:eastAsia="仿宋_GB2312" w:hAnsi="Times New Roman"/>
          <w:b/>
          <w:bCs/>
        </w:rPr>
      </w:pPr>
      <w:r>
        <w:rPr>
          <w:rFonts w:ascii="Times New Roman" w:eastAsia="仿宋_GB2312" w:hAnsi="Times New Roman"/>
          <w:b/>
          <w:bCs/>
        </w:rPr>
        <w:t>2</w:t>
      </w:r>
      <w:r>
        <w:rPr>
          <w:rFonts w:ascii="Times New Roman" w:eastAsia="仿宋_GB2312" w:hAnsi="Times New Roman"/>
          <w:b/>
          <w:bCs/>
        </w:rPr>
        <w:t>、结构与内容的综合质量（满分</w:t>
      </w:r>
      <w:r>
        <w:rPr>
          <w:rFonts w:ascii="Times New Roman" w:eastAsia="仿宋_GB2312" w:hAnsi="Times New Roman"/>
          <w:b/>
          <w:bCs/>
        </w:rPr>
        <w:t>20</w:t>
      </w:r>
      <w:r>
        <w:rPr>
          <w:rFonts w:ascii="Times New Roman" w:eastAsia="仿宋_GB2312" w:hAnsi="Times New Roman"/>
          <w:b/>
          <w:bCs/>
        </w:rPr>
        <w:t>分）</w:t>
      </w:r>
    </w:p>
    <w:p w:rsidR="008357FF" w:rsidRDefault="00980910">
      <w:pPr>
        <w:spacing w:line="560" w:lineRule="exact"/>
        <w:ind w:firstLine="643"/>
        <w:jc w:val="both"/>
        <w:rPr>
          <w:rFonts w:ascii="Times New Roman" w:eastAsia="仿宋_GB2312" w:hAnsi="Times New Roman"/>
          <w:b/>
          <w:bCs/>
        </w:rPr>
      </w:pPr>
      <w:r>
        <w:rPr>
          <w:rFonts w:ascii="Times New Roman" w:eastAsia="仿宋_GB2312" w:hAnsi="Times New Roman"/>
          <w:b/>
          <w:bCs/>
        </w:rPr>
        <w:t>A</w:t>
      </w:r>
      <w:r>
        <w:rPr>
          <w:rFonts w:ascii="Times New Roman" w:eastAsia="仿宋_GB2312" w:hAnsi="Times New Roman"/>
          <w:b/>
          <w:bCs/>
        </w:rPr>
        <w:t>档（</w:t>
      </w:r>
      <w:r>
        <w:rPr>
          <w:rFonts w:ascii="Times New Roman" w:eastAsia="仿宋_GB2312" w:hAnsi="Times New Roman"/>
          <w:b/>
          <w:bCs/>
        </w:rPr>
        <w:t>20</w:t>
      </w:r>
      <w:r>
        <w:rPr>
          <w:rFonts w:ascii="Times New Roman" w:eastAsia="仿宋_GB2312" w:hAnsi="Times New Roman"/>
          <w:b/>
          <w:bCs/>
        </w:rPr>
        <w:t>分）：卓越的系统性与洞察力</w:t>
      </w:r>
    </w:p>
    <w:p w:rsidR="008357FF" w:rsidRDefault="00980910">
      <w:pPr>
        <w:spacing w:line="560" w:lineRule="exact"/>
        <w:jc w:val="both"/>
        <w:rPr>
          <w:rFonts w:ascii="Times New Roman" w:eastAsia="仿宋_GB2312" w:hAnsi="Times New Roman"/>
        </w:rPr>
      </w:pPr>
      <w:r>
        <w:rPr>
          <w:rFonts w:ascii="Times New Roman" w:eastAsia="仿宋_GB2312" w:hAnsi="Times New Roman"/>
        </w:rPr>
        <w:t>结构：大纲叙事线索极其清晰，章节划分科学且层级分明，各部分之间过渡自然流畅，环环相扣，形成一个强系统性的整体。</w:t>
      </w:r>
    </w:p>
    <w:p w:rsidR="008357FF" w:rsidRDefault="00980910">
      <w:pPr>
        <w:spacing w:line="560" w:lineRule="exact"/>
        <w:jc w:val="both"/>
        <w:rPr>
          <w:rFonts w:ascii="Times New Roman" w:eastAsia="仿宋_GB2312" w:hAnsi="Times New Roman"/>
        </w:rPr>
      </w:pPr>
      <w:r>
        <w:rPr>
          <w:rFonts w:ascii="Times New Roman" w:eastAsia="仿宋_GB2312" w:hAnsi="Times New Roman"/>
        </w:rPr>
        <w:t>内容：全面且深入地涵盖了所有核心板块（如茶质量发展历史、检验技术、机构介绍等），毫无遗漏。内容详略得当，既能展现宏大的历史与行业视野，又能进行微观的技术或案例剖析，资料丰富，细节饱满，体现出很强的主题挖掘深度。</w:t>
      </w:r>
    </w:p>
    <w:p w:rsidR="008357FF" w:rsidRDefault="00980910">
      <w:pPr>
        <w:spacing w:line="560" w:lineRule="exact"/>
        <w:ind w:firstLine="643"/>
        <w:jc w:val="both"/>
        <w:rPr>
          <w:rFonts w:ascii="Times New Roman" w:eastAsia="仿宋_GB2312" w:hAnsi="Times New Roman"/>
        </w:rPr>
      </w:pPr>
      <w:r>
        <w:rPr>
          <w:rFonts w:ascii="Times New Roman" w:eastAsia="仿宋_GB2312" w:hAnsi="Times New Roman"/>
          <w:b/>
          <w:bCs/>
        </w:rPr>
        <w:t>B</w:t>
      </w:r>
      <w:r>
        <w:rPr>
          <w:rFonts w:ascii="Times New Roman" w:eastAsia="仿宋_GB2312" w:hAnsi="Times New Roman"/>
          <w:b/>
          <w:bCs/>
        </w:rPr>
        <w:t>档（</w:t>
      </w:r>
      <w:r>
        <w:rPr>
          <w:rFonts w:ascii="Times New Roman" w:eastAsia="仿宋_GB2312" w:hAnsi="Times New Roman"/>
          <w:b/>
          <w:bCs/>
        </w:rPr>
        <w:t>15</w:t>
      </w:r>
      <w:r>
        <w:rPr>
          <w:rFonts w:ascii="Times New Roman" w:eastAsia="仿宋_GB2312" w:hAnsi="Times New Roman"/>
          <w:b/>
          <w:bCs/>
        </w:rPr>
        <w:t>分）：清晰的完整性与合理表述</w:t>
      </w:r>
    </w:p>
    <w:p w:rsidR="008357FF" w:rsidRDefault="00980910">
      <w:pPr>
        <w:spacing w:line="560" w:lineRule="exact"/>
        <w:jc w:val="both"/>
        <w:rPr>
          <w:rFonts w:ascii="Times New Roman" w:eastAsia="仿宋_GB2312" w:hAnsi="Times New Roman"/>
        </w:rPr>
      </w:pPr>
      <w:r>
        <w:rPr>
          <w:rFonts w:ascii="Times New Roman" w:eastAsia="仿宋_GB2312" w:hAnsi="Times New Roman"/>
        </w:rPr>
        <w:t>结构：大纲有明确的叙事逻辑，章节划分基本合理，内容衔接较为顺畅，整体结构清晰，能满足展示需求。</w:t>
      </w:r>
    </w:p>
    <w:p w:rsidR="008357FF" w:rsidRDefault="00980910">
      <w:pPr>
        <w:spacing w:line="560" w:lineRule="exact"/>
        <w:jc w:val="both"/>
        <w:rPr>
          <w:rFonts w:ascii="Times New Roman" w:eastAsia="仿宋_GB2312" w:hAnsi="Times New Roman"/>
        </w:rPr>
      </w:pPr>
      <w:r>
        <w:rPr>
          <w:rFonts w:ascii="Times New Roman" w:eastAsia="仿宋_GB2312" w:hAnsi="Times New Roman"/>
        </w:rPr>
        <w:t>内容：较为完整地涵盖了核心板块，对主要方面均有涉及，层次分明。但在某些部分的细节丰富性、案例深度或分析的透彻性上略有欠缺。</w:t>
      </w:r>
    </w:p>
    <w:p w:rsidR="008357FF" w:rsidRDefault="00980910">
      <w:pPr>
        <w:spacing w:line="560" w:lineRule="exact"/>
        <w:ind w:firstLine="643"/>
        <w:jc w:val="both"/>
        <w:rPr>
          <w:rFonts w:ascii="Times New Roman" w:eastAsia="仿宋_GB2312" w:hAnsi="Times New Roman"/>
          <w:b/>
          <w:bCs/>
        </w:rPr>
      </w:pPr>
      <w:r>
        <w:rPr>
          <w:rFonts w:ascii="Times New Roman" w:eastAsia="仿宋_GB2312" w:hAnsi="Times New Roman"/>
          <w:b/>
          <w:bCs/>
        </w:rPr>
        <w:t>C</w:t>
      </w:r>
      <w:r>
        <w:rPr>
          <w:rFonts w:ascii="Times New Roman" w:eastAsia="仿宋_GB2312" w:hAnsi="Times New Roman"/>
          <w:b/>
          <w:bCs/>
        </w:rPr>
        <w:t>档（</w:t>
      </w:r>
      <w:r>
        <w:rPr>
          <w:rFonts w:ascii="Times New Roman" w:eastAsia="仿宋_GB2312" w:hAnsi="Times New Roman"/>
          <w:b/>
          <w:bCs/>
        </w:rPr>
        <w:t>10</w:t>
      </w:r>
      <w:r>
        <w:rPr>
          <w:rFonts w:ascii="Times New Roman" w:eastAsia="仿宋_GB2312" w:hAnsi="Times New Roman"/>
          <w:b/>
          <w:bCs/>
        </w:rPr>
        <w:t>分）：初步的框架与基础覆盖</w:t>
      </w:r>
    </w:p>
    <w:p w:rsidR="008357FF" w:rsidRDefault="00980910">
      <w:pPr>
        <w:spacing w:line="560" w:lineRule="exact"/>
        <w:jc w:val="both"/>
        <w:rPr>
          <w:rFonts w:ascii="Times New Roman" w:eastAsia="仿宋_GB2312" w:hAnsi="Times New Roman"/>
        </w:rPr>
      </w:pPr>
      <w:r>
        <w:rPr>
          <w:rFonts w:ascii="Times New Roman" w:eastAsia="仿宋_GB2312" w:hAnsi="Times New Roman"/>
        </w:rPr>
        <w:t>结构：大纲逻辑性一般或较弱，叙事线索不够清晰，章节划分较为随意或存在不合理之处。内容衔接可能生硬，结构较为松散，对观众的引导性不强。</w:t>
      </w:r>
    </w:p>
    <w:p w:rsidR="008357FF" w:rsidRDefault="00980910">
      <w:pPr>
        <w:spacing w:line="560" w:lineRule="exact"/>
        <w:jc w:val="both"/>
        <w:rPr>
          <w:rFonts w:ascii="Times New Roman" w:eastAsia="仿宋_GB2312" w:hAnsi="Times New Roman"/>
          <w:b/>
          <w:bCs/>
        </w:rPr>
      </w:pPr>
      <w:r>
        <w:rPr>
          <w:rFonts w:ascii="Times New Roman" w:eastAsia="仿宋_GB2312" w:hAnsi="Times New Roman"/>
        </w:rPr>
        <w:t>内容：基本覆盖了主要板块，但可能存在核心内容（尤其是</w:t>
      </w:r>
      <w:r>
        <w:rPr>
          <w:rFonts w:ascii="Times New Roman" w:eastAsia="仿宋_GB2312" w:hAnsi="Times New Roman"/>
        </w:rPr>
        <w:t>“</w:t>
      </w:r>
      <w:r>
        <w:rPr>
          <w:rFonts w:ascii="Times New Roman" w:eastAsia="仿宋_GB2312" w:hAnsi="Times New Roman"/>
        </w:rPr>
        <w:t>质量</w:t>
      </w:r>
      <w:r>
        <w:rPr>
          <w:rFonts w:ascii="Times New Roman" w:eastAsia="仿宋_GB2312" w:hAnsi="Times New Roman"/>
        </w:rPr>
        <w:t>”</w:t>
      </w:r>
      <w:r>
        <w:rPr>
          <w:rFonts w:ascii="Times New Roman" w:eastAsia="仿宋_GB2312" w:hAnsi="Times New Roman"/>
        </w:rPr>
        <w:t>内涵演变或</w:t>
      </w:r>
      <w:r>
        <w:rPr>
          <w:rFonts w:ascii="Times New Roman" w:eastAsia="仿宋_GB2312" w:hAnsi="Times New Roman"/>
        </w:rPr>
        <w:t>“</w:t>
      </w:r>
      <w:r>
        <w:rPr>
          <w:rFonts w:ascii="Times New Roman" w:eastAsia="仿宋_GB2312" w:hAnsi="Times New Roman"/>
        </w:rPr>
        <w:t>质检院</w:t>
      </w:r>
      <w:r>
        <w:rPr>
          <w:rFonts w:ascii="Times New Roman" w:eastAsia="仿宋_GB2312" w:hAnsi="Times New Roman"/>
        </w:rPr>
        <w:t>”</w:t>
      </w:r>
      <w:r>
        <w:rPr>
          <w:rFonts w:ascii="Times New Roman" w:eastAsia="仿宋_GB2312" w:hAnsi="Times New Roman"/>
        </w:rPr>
        <w:t>具体职能与贡献）的遗漏或过度简略。详略处理不当，或过于冗长空泛，或过于简略模糊，信息量和深度均明显不足。</w:t>
      </w:r>
    </w:p>
    <w:p w:rsidR="008357FF" w:rsidRDefault="00980910">
      <w:pPr>
        <w:spacing w:line="560" w:lineRule="exact"/>
        <w:ind w:firstLineChars="0" w:firstLine="0"/>
        <w:jc w:val="both"/>
        <w:rPr>
          <w:rFonts w:ascii="Times New Roman" w:eastAsia="仿宋_GB2312" w:hAnsi="Times New Roman"/>
          <w:b/>
          <w:bCs/>
        </w:rPr>
      </w:pPr>
      <w:r>
        <w:rPr>
          <w:rFonts w:ascii="Times New Roman" w:eastAsia="仿宋_GB2312" w:hAnsi="Times New Roman"/>
          <w:b/>
          <w:bCs/>
        </w:rPr>
        <w:t>3</w:t>
      </w:r>
      <w:r>
        <w:rPr>
          <w:rFonts w:ascii="Times New Roman" w:eastAsia="仿宋_GB2312" w:hAnsi="Times New Roman"/>
          <w:b/>
          <w:bCs/>
        </w:rPr>
        <w:t>、可实施性与落地性（满分</w:t>
      </w:r>
      <w:r>
        <w:rPr>
          <w:rFonts w:ascii="Times New Roman" w:eastAsia="仿宋_GB2312" w:hAnsi="Times New Roman" w:hint="eastAsia"/>
          <w:b/>
          <w:bCs/>
        </w:rPr>
        <w:t>15</w:t>
      </w:r>
      <w:r>
        <w:rPr>
          <w:rFonts w:ascii="Times New Roman" w:eastAsia="仿宋_GB2312" w:hAnsi="Times New Roman"/>
          <w:b/>
          <w:bCs/>
        </w:rPr>
        <w:t>分）</w:t>
      </w:r>
    </w:p>
    <w:p w:rsidR="008357FF" w:rsidRDefault="00980910">
      <w:pPr>
        <w:spacing w:line="560" w:lineRule="exact"/>
        <w:ind w:firstLine="643"/>
        <w:jc w:val="both"/>
        <w:rPr>
          <w:rFonts w:ascii="Times New Roman" w:eastAsia="仿宋_GB2312" w:hAnsi="Times New Roman"/>
        </w:rPr>
      </w:pPr>
      <w:r>
        <w:rPr>
          <w:rFonts w:ascii="Times New Roman" w:eastAsia="仿宋_GB2312" w:hAnsi="Times New Roman"/>
          <w:b/>
          <w:bCs/>
        </w:rPr>
        <w:t>A</w:t>
      </w:r>
      <w:r>
        <w:rPr>
          <w:rFonts w:ascii="Times New Roman" w:eastAsia="仿宋_GB2312" w:hAnsi="Times New Roman"/>
          <w:b/>
          <w:bCs/>
        </w:rPr>
        <w:t>档（</w:t>
      </w:r>
      <w:r>
        <w:rPr>
          <w:rFonts w:ascii="Times New Roman" w:eastAsia="仿宋_GB2312" w:hAnsi="Times New Roman"/>
          <w:b/>
          <w:bCs/>
        </w:rPr>
        <w:t>1</w:t>
      </w:r>
      <w:r>
        <w:rPr>
          <w:rFonts w:ascii="Times New Roman" w:eastAsia="仿宋_GB2312" w:hAnsi="Times New Roman" w:hint="eastAsia"/>
          <w:b/>
          <w:bCs/>
        </w:rPr>
        <w:t>5</w:t>
      </w:r>
      <w:r>
        <w:rPr>
          <w:rFonts w:ascii="Times New Roman" w:eastAsia="仿宋_GB2312" w:hAnsi="Times New Roman"/>
          <w:b/>
          <w:bCs/>
        </w:rPr>
        <w:t>分）：</w:t>
      </w:r>
      <w:r>
        <w:rPr>
          <w:rFonts w:ascii="Times New Roman" w:eastAsia="仿宋_GB2312" w:hAnsi="Times New Roman"/>
        </w:rPr>
        <w:t xml:space="preserve"> </w:t>
      </w:r>
      <w:r>
        <w:rPr>
          <w:rFonts w:ascii="Times New Roman" w:eastAsia="仿宋_GB2312" w:hAnsi="Times New Roman"/>
        </w:rPr>
        <w:t>大纲充分考虑了实际展陈空间、形式设计及制作工艺的可行性。文字描述具体精准，对展板、展品（如质检仪器）、场景、多媒体等有一些明确的指导建议，内容易转化为实际展览效果。</w:t>
      </w:r>
    </w:p>
    <w:p w:rsidR="008357FF" w:rsidRDefault="00980910">
      <w:pPr>
        <w:spacing w:line="560" w:lineRule="exact"/>
        <w:ind w:firstLine="643"/>
        <w:jc w:val="both"/>
        <w:rPr>
          <w:rFonts w:ascii="Times New Roman" w:eastAsia="仿宋_GB2312" w:hAnsi="Times New Roman"/>
        </w:rPr>
      </w:pPr>
      <w:r>
        <w:rPr>
          <w:rFonts w:ascii="Times New Roman" w:eastAsia="仿宋_GB2312" w:hAnsi="Times New Roman"/>
          <w:b/>
          <w:bCs/>
        </w:rPr>
        <w:t>B</w:t>
      </w:r>
      <w:r>
        <w:rPr>
          <w:rFonts w:ascii="Times New Roman" w:eastAsia="仿宋_GB2312" w:hAnsi="Times New Roman"/>
          <w:b/>
          <w:bCs/>
        </w:rPr>
        <w:t>档（</w:t>
      </w:r>
      <w:r>
        <w:rPr>
          <w:rFonts w:ascii="Times New Roman" w:eastAsia="仿宋_GB2312" w:hAnsi="Times New Roman"/>
          <w:b/>
          <w:bCs/>
        </w:rPr>
        <w:t>10</w:t>
      </w:r>
      <w:r>
        <w:rPr>
          <w:rFonts w:ascii="Times New Roman" w:eastAsia="仿宋_GB2312" w:hAnsi="Times New Roman"/>
          <w:b/>
          <w:bCs/>
        </w:rPr>
        <w:t>分）：</w:t>
      </w:r>
      <w:r>
        <w:rPr>
          <w:rFonts w:ascii="Times New Roman" w:eastAsia="仿宋_GB2312" w:hAnsi="Times New Roman"/>
          <w:b/>
          <w:bCs/>
        </w:rPr>
        <w:t xml:space="preserve"> </w:t>
      </w:r>
      <w:r>
        <w:rPr>
          <w:rFonts w:ascii="Times New Roman" w:eastAsia="仿宋_GB2312" w:hAnsi="Times New Roman"/>
        </w:rPr>
        <w:t>大纲对落地性有一定考虑，内容描述较为清晰，有提及设计形式。大部分内容具备可实施性，偶有描述较为抽象或需进一步细化之处。</w:t>
      </w:r>
    </w:p>
    <w:p w:rsidR="008357FF" w:rsidRDefault="00980910">
      <w:pPr>
        <w:spacing w:line="560" w:lineRule="exact"/>
        <w:ind w:firstLine="643"/>
        <w:jc w:val="both"/>
        <w:rPr>
          <w:rFonts w:ascii="Times New Roman" w:eastAsia="仿宋_GB2312" w:hAnsi="Times New Roman"/>
        </w:rPr>
      </w:pPr>
      <w:r>
        <w:rPr>
          <w:rFonts w:ascii="Times New Roman" w:eastAsia="仿宋_GB2312" w:hAnsi="Times New Roman"/>
          <w:b/>
          <w:bCs/>
        </w:rPr>
        <w:t>C</w:t>
      </w:r>
      <w:r>
        <w:rPr>
          <w:rFonts w:ascii="Times New Roman" w:eastAsia="仿宋_GB2312" w:hAnsi="Times New Roman"/>
          <w:b/>
          <w:bCs/>
        </w:rPr>
        <w:t>档（</w:t>
      </w:r>
      <w:r>
        <w:rPr>
          <w:rFonts w:ascii="Times New Roman" w:eastAsia="仿宋_GB2312" w:hAnsi="Times New Roman"/>
          <w:b/>
          <w:bCs/>
        </w:rPr>
        <w:t>5</w:t>
      </w:r>
      <w:r>
        <w:rPr>
          <w:rFonts w:ascii="Times New Roman" w:eastAsia="仿宋_GB2312" w:hAnsi="Times New Roman"/>
          <w:b/>
          <w:bCs/>
        </w:rPr>
        <w:t>分）：</w:t>
      </w:r>
      <w:r>
        <w:rPr>
          <w:rFonts w:ascii="Times New Roman" w:eastAsia="仿宋_GB2312" w:hAnsi="Times New Roman"/>
        </w:rPr>
        <w:t xml:space="preserve"> </w:t>
      </w:r>
      <w:r>
        <w:rPr>
          <w:rFonts w:ascii="Times New Roman" w:eastAsia="仿宋_GB2312" w:hAnsi="Times New Roman"/>
        </w:rPr>
        <w:t>大纲对落地性的考虑不足，部分内容描述模糊、笼统，缺乏指导性。一些创意或内容在现有条件下难以实现，或需要大幅调整，落地性一般。</w:t>
      </w:r>
    </w:p>
    <w:p w:rsidR="008357FF" w:rsidRDefault="00980910">
      <w:pPr>
        <w:spacing w:line="560" w:lineRule="exact"/>
        <w:ind w:firstLineChars="0" w:firstLine="0"/>
        <w:jc w:val="both"/>
        <w:rPr>
          <w:rFonts w:ascii="Times New Roman" w:eastAsia="仿宋_GB2312" w:hAnsi="Times New Roman"/>
          <w:b/>
          <w:bCs/>
          <w:highlight w:val="yellow"/>
        </w:rPr>
      </w:pPr>
      <w:r>
        <w:rPr>
          <w:rFonts w:ascii="Times New Roman" w:eastAsia="仿宋_GB2312" w:hAnsi="Times New Roman"/>
          <w:b/>
          <w:bCs/>
          <w:highlight w:val="yellow"/>
        </w:rPr>
        <w:t>（二）</w:t>
      </w:r>
      <w:r>
        <w:rPr>
          <w:rFonts w:ascii="Times New Roman" w:eastAsia="仿宋_GB2312" w:hAnsi="Times New Roman" w:hint="eastAsia"/>
          <w:b/>
          <w:bCs/>
          <w:highlight w:val="yellow"/>
        </w:rPr>
        <w:t>F2</w:t>
      </w:r>
      <w:r>
        <w:rPr>
          <w:rFonts w:ascii="Times New Roman" w:eastAsia="仿宋_GB2312" w:hAnsi="Times New Roman"/>
          <w:b/>
          <w:bCs/>
          <w:highlight w:val="yellow"/>
        </w:rPr>
        <w:t xml:space="preserve"> </w:t>
      </w:r>
      <w:r>
        <w:rPr>
          <w:rFonts w:ascii="Times New Roman" w:eastAsia="仿宋_GB2312" w:hAnsi="Times New Roman"/>
          <w:b/>
          <w:bCs/>
          <w:highlight w:val="yellow"/>
        </w:rPr>
        <w:t>商务部分（</w:t>
      </w:r>
      <w:r>
        <w:rPr>
          <w:rFonts w:ascii="Times New Roman" w:eastAsia="仿宋_GB2312" w:hAnsi="Times New Roman"/>
          <w:b/>
          <w:bCs/>
          <w:highlight w:val="yellow"/>
        </w:rPr>
        <w:t>25</w:t>
      </w:r>
      <w:r>
        <w:rPr>
          <w:rFonts w:ascii="Times New Roman" w:eastAsia="仿宋_GB2312" w:hAnsi="Times New Roman"/>
          <w:b/>
          <w:bCs/>
          <w:highlight w:val="yellow"/>
        </w:rPr>
        <w:t>分）</w:t>
      </w:r>
    </w:p>
    <w:p w:rsidR="008357FF" w:rsidRDefault="00980910">
      <w:pPr>
        <w:ind w:firstLine="643"/>
        <w:rPr>
          <w:rFonts w:ascii="Times New Roman" w:eastAsia="仿宋_GB2312" w:hAnsi="Times New Roman"/>
        </w:rPr>
      </w:pPr>
      <w:bookmarkStart w:id="0" w:name="OLE_LINK1"/>
      <w:r>
        <w:rPr>
          <w:rFonts w:ascii="Times New Roman" w:eastAsia="仿宋_GB2312" w:hAnsi="Times New Roman" w:hint="eastAsia"/>
          <w:b/>
          <w:bCs/>
        </w:rPr>
        <w:t>1</w:t>
      </w:r>
      <w:r>
        <w:rPr>
          <w:rFonts w:ascii="Times New Roman" w:eastAsia="仿宋_GB2312" w:hAnsi="Times New Roman" w:hint="eastAsia"/>
          <w:b/>
          <w:bCs/>
        </w:rPr>
        <w:t>、</w:t>
      </w:r>
      <w:r>
        <w:rPr>
          <w:rFonts w:ascii="Times New Roman" w:eastAsia="仿宋_GB2312" w:hAnsi="Times New Roman"/>
          <w:b/>
          <w:bCs/>
        </w:rPr>
        <w:t>类似业绩（</w:t>
      </w:r>
      <w:r>
        <w:rPr>
          <w:rFonts w:ascii="Times New Roman" w:eastAsia="仿宋_GB2312" w:hAnsi="Times New Roman"/>
          <w:b/>
          <w:bCs/>
        </w:rPr>
        <w:t>5</w:t>
      </w:r>
      <w:r>
        <w:rPr>
          <w:rFonts w:ascii="Times New Roman" w:eastAsia="仿宋_GB2312" w:hAnsi="Times New Roman"/>
          <w:b/>
          <w:bCs/>
        </w:rPr>
        <w:t>分）：</w:t>
      </w:r>
      <w:r>
        <w:rPr>
          <w:rFonts w:ascii="Times New Roman" w:eastAsia="仿宋_GB2312" w:hAnsi="Times New Roman"/>
        </w:rPr>
        <w:t>提供完成的</w:t>
      </w:r>
      <w:r>
        <w:rPr>
          <w:rFonts w:ascii="Times New Roman" w:eastAsia="仿宋_GB2312" w:hAnsi="Times New Roman" w:hint="eastAsia"/>
        </w:rPr>
        <w:t>类似</w:t>
      </w:r>
      <w:r>
        <w:rPr>
          <w:rFonts w:ascii="Times New Roman" w:eastAsia="仿宋_GB2312" w:hAnsi="Times New Roman"/>
        </w:rPr>
        <w:t>项目案例</w:t>
      </w:r>
      <w:r>
        <w:rPr>
          <w:rFonts w:ascii="Times New Roman" w:eastAsia="仿宋_GB2312" w:hAnsi="Times New Roman" w:hint="eastAsia"/>
        </w:rPr>
        <w:t>，得</w:t>
      </w:r>
      <w:r>
        <w:rPr>
          <w:rFonts w:ascii="Times New Roman" w:eastAsia="仿宋_GB2312" w:hAnsi="Times New Roman"/>
        </w:rPr>
        <w:t>5</w:t>
      </w:r>
      <w:r>
        <w:rPr>
          <w:rFonts w:ascii="Times New Roman" w:eastAsia="仿宋_GB2312" w:hAnsi="Times New Roman"/>
        </w:rPr>
        <w:t>分。（需提供合同关键页等证明文件）</w:t>
      </w:r>
    </w:p>
    <w:p w:rsidR="008357FF" w:rsidRDefault="008357FF">
      <w:pPr>
        <w:rPr>
          <w:rFonts w:ascii="Times New Roman" w:eastAsia="仿宋_GB2312" w:hAnsi="Times New Roman"/>
        </w:rPr>
      </w:pPr>
    </w:p>
    <w:p w:rsidR="008357FF" w:rsidRPr="004F63AE" w:rsidRDefault="00980910">
      <w:pPr>
        <w:ind w:firstLine="643"/>
        <w:rPr>
          <w:rFonts w:ascii="Times New Roman" w:eastAsia="仿宋_GB2312" w:hAnsi="Times New Roman"/>
          <w:b/>
          <w:bCs/>
        </w:rPr>
      </w:pPr>
      <w:bookmarkStart w:id="1" w:name="OLE_LINK2"/>
      <w:bookmarkStart w:id="2" w:name="_GoBack"/>
      <w:bookmarkEnd w:id="2"/>
      <w:r w:rsidRPr="004F63AE">
        <w:rPr>
          <w:rFonts w:ascii="Times New Roman" w:eastAsia="仿宋_GB2312" w:hAnsi="Times New Roman" w:hint="eastAsia"/>
          <w:b/>
          <w:bCs/>
        </w:rPr>
        <w:t>2</w:t>
      </w:r>
      <w:r w:rsidRPr="004F63AE">
        <w:rPr>
          <w:rFonts w:ascii="Times New Roman" w:eastAsia="仿宋_GB2312" w:hAnsi="Times New Roman" w:hint="eastAsia"/>
          <w:b/>
          <w:bCs/>
        </w:rPr>
        <w:t>、</w:t>
      </w:r>
      <w:r w:rsidRPr="004F63AE">
        <w:rPr>
          <w:rFonts w:ascii="Times New Roman" w:eastAsia="仿宋_GB2312" w:hAnsi="Times New Roman"/>
          <w:b/>
          <w:bCs/>
        </w:rPr>
        <w:t>项目实施计划与保障措施（</w:t>
      </w:r>
      <w:r w:rsidRPr="004F63AE">
        <w:rPr>
          <w:rFonts w:ascii="Times New Roman" w:eastAsia="仿宋_GB2312" w:hAnsi="Times New Roman"/>
          <w:b/>
          <w:bCs/>
        </w:rPr>
        <w:t>10</w:t>
      </w:r>
      <w:r w:rsidRPr="004F63AE">
        <w:rPr>
          <w:rFonts w:ascii="Times New Roman" w:eastAsia="仿宋_GB2312" w:hAnsi="Times New Roman"/>
          <w:b/>
          <w:bCs/>
        </w:rPr>
        <w:t>分）</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hint="eastAsia"/>
          <w:b/>
          <w:bCs/>
        </w:rPr>
        <w:t>质量保障（</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b/>
          <w:bCs/>
        </w:rPr>
        <w:t>A</w:t>
      </w:r>
      <w:r w:rsidRPr="004B27A3">
        <w:rPr>
          <w:rFonts w:ascii="Times New Roman" w:eastAsia="仿宋_GB2312" w:hAnsi="Times New Roman"/>
          <w:b/>
          <w:bCs/>
        </w:rPr>
        <w:t>档（</w:t>
      </w:r>
      <w:r w:rsidRPr="004B27A3">
        <w:rPr>
          <w:rFonts w:ascii="Times New Roman" w:eastAsia="仿宋_GB2312" w:hAnsi="Times New Roman"/>
          <w:b/>
          <w:bCs/>
        </w:rPr>
        <w:t>5</w:t>
      </w:r>
      <w:r w:rsidRPr="004B27A3">
        <w:rPr>
          <w:rFonts w:ascii="Times New Roman" w:eastAsia="仿宋_GB2312" w:hAnsi="Times New Roman"/>
          <w:b/>
          <w:bCs/>
        </w:rPr>
        <w:t>分）：</w:t>
      </w:r>
      <w:r w:rsidRPr="004B27A3">
        <w:rPr>
          <w:rFonts w:ascii="Times New Roman" w:eastAsia="仿宋_GB2312" w:hAnsi="Times New Roman" w:hint="eastAsia"/>
        </w:rPr>
        <w:t>质量控制措施非常具体、有效，覆盖项目全过程，且有详细的突发情况预案，预案针对性强、可操作，能够快速应对各类质量问题。</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b/>
          <w:bCs/>
        </w:rPr>
        <w:t>B</w:t>
      </w:r>
      <w:r w:rsidRPr="004B27A3">
        <w:rPr>
          <w:rFonts w:ascii="Times New Roman" w:eastAsia="仿宋_GB2312" w:hAnsi="Times New Roman"/>
          <w:b/>
          <w:bCs/>
        </w:rPr>
        <w:t>档（</w:t>
      </w:r>
      <w:r w:rsidRPr="004B27A3">
        <w:rPr>
          <w:rFonts w:ascii="Times New Roman" w:eastAsia="仿宋_GB2312" w:hAnsi="Times New Roman"/>
          <w:b/>
          <w:bCs/>
        </w:rPr>
        <w:t>3</w:t>
      </w:r>
      <w:r w:rsidRPr="004B27A3">
        <w:rPr>
          <w:rFonts w:ascii="Times New Roman" w:eastAsia="仿宋_GB2312" w:hAnsi="Times New Roman"/>
          <w:b/>
          <w:bCs/>
        </w:rPr>
        <w:t>分）：</w:t>
      </w:r>
      <w:r w:rsidRPr="004B27A3">
        <w:rPr>
          <w:rFonts w:ascii="Times New Roman" w:eastAsia="仿宋_GB2312" w:hAnsi="Times New Roman" w:hint="eastAsia"/>
        </w:rPr>
        <w:t>质量控制措施基本具体，但覆盖不够全面或有效性一般；有突发情况预案，但不够详细或针对性较弱，基本能满足常规需求。</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b/>
          <w:bCs/>
        </w:rPr>
        <w:t>C</w:t>
      </w:r>
      <w:r w:rsidRPr="004B27A3">
        <w:rPr>
          <w:rFonts w:ascii="Times New Roman" w:eastAsia="仿宋_GB2312" w:hAnsi="Times New Roman"/>
          <w:b/>
          <w:bCs/>
        </w:rPr>
        <w:t>档（</w:t>
      </w:r>
      <w:r w:rsidRPr="004B27A3">
        <w:rPr>
          <w:rFonts w:ascii="Times New Roman" w:eastAsia="仿宋_GB2312" w:hAnsi="Times New Roman"/>
          <w:b/>
          <w:bCs/>
        </w:rPr>
        <w:t>1</w:t>
      </w:r>
      <w:r w:rsidRPr="004B27A3">
        <w:rPr>
          <w:rFonts w:ascii="Times New Roman" w:eastAsia="仿宋_GB2312" w:hAnsi="Times New Roman"/>
          <w:b/>
          <w:bCs/>
        </w:rPr>
        <w:t>分）：</w:t>
      </w:r>
      <w:r w:rsidRPr="004B27A3">
        <w:rPr>
          <w:rFonts w:ascii="Times New Roman" w:eastAsia="仿宋_GB2312" w:hAnsi="Times New Roman" w:hint="eastAsia"/>
        </w:rPr>
        <w:t>质量控制措施不具体或缺乏有效性，关键环节缺失；没有突发情况预案，或预案不可行、无法应对实际问题。</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hint="eastAsia"/>
          <w:b/>
          <w:bCs/>
        </w:rPr>
        <w:t>后期服务（</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b/>
          <w:bCs/>
        </w:rPr>
        <w:t>A</w:t>
      </w:r>
      <w:r w:rsidRPr="004B27A3">
        <w:rPr>
          <w:rFonts w:ascii="Times New Roman" w:eastAsia="仿宋_GB2312" w:hAnsi="Times New Roman"/>
          <w:b/>
          <w:bCs/>
        </w:rPr>
        <w:t>档（</w:t>
      </w:r>
      <w:r w:rsidRPr="004B27A3">
        <w:rPr>
          <w:rFonts w:ascii="Times New Roman" w:eastAsia="仿宋_GB2312" w:hAnsi="Times New Roman"/>
          <w:b/>
          <w:bCs/>
        </w:rPr>
        <w:t>5</w:t>
      </w:r>
      <w:r w:rsidRPr="004B27A3">
        <w:rPr>
          <w:rFonts w:ascii="Times New Roman" w:eastAsia="仿宋_GB2312" w:hAnsi="Times New Roman"/>
          <w:b/>
          <w:bCs/>
        </w:rPr>
        <w:t>分）：</w:t>
      </w:r>
      <w:r w:rsidRPr="004B27A3">
        <w:rPr>
          <w:rFonts w:ascii="Times New Roman" w:eastAsia="仿宋_GB2312" w:hAnsi="Times New Roman" w:hint="eastAsia"/>
        </w:rPr>
        <w:t>售后方案非常完善，包含服务内容、响应时间、人员安排、备件保障等要素，方案可行性强，能够确保项目长期稳定运行。</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b/>
          <w:bCs/>
        </w:rPr>
        <w:t>B</w:t>
      </w:r>
      <w:r w:rsidRPr="004B27A3">
        <w:rPr>
          <w:rFonts w:ascii="Times New Roman" w:eastAsia="仿宋_GB2312" w:hAnsi="Times New Roman"/>
          <w:b/>
          <w:bCs/>
        </w:rPr>
        <w:t>档（</w:t>
      </w:r>
      <w:r w:rsidRPr="004B27A3">
        <w:rPr>
          <w:rFonts w:ascii="Times New Roman" w:eastAsia="仿宋_GB2312" w:hAnsi="Times New Roman"/>
          <w:b/>
          <w:bCs/>
        </w:rPr>
        <w:t>3</w:t>
      </w:r>
      <w:r w:rsidRPr="004B27A3">
        <w:rPr>
          <w:rFonts w:ascii="Times New Roman" w:eastAsia="仿宋_GB2312" w:hAnsi="Times New Roman"/>
          <w:b/>
          <w:bCs/>
        </w:rPr>
        <w:t>分）：</w:t>
      </w:r>
      <w:r w:rsidRPr="004B27A3">
        <w:rPr>
          <w:rFonts w:ascii="Times New Roman" w:eastAsia="仿宋_GB2312" w:hAnsi="Times New Roman" w:hint="eastAsia"/>
        </w:rPr>
        <w:t>售后方案基本完善，但存在部分不足（如响应时间不明确、服务内容不够全面），方案基本可行，能满足大部分需求。</w:t>
      </w:r>
    </w:p>
    <w:p w:rsidR="008357FF" w:rsidRPr="004B27A3" w:rsidRDefault="008357FF">
      <w:pPr>
        <w:rPr>
          <w:rFonts w:ascii="Times New Roman" w:eastAsia="仿宋_GB2312" w:hAnsi="Times New Roman"/>
        </w:rPr>
      </w:pPr>
    </w:p>
    <w:p w:rsidR="008357FF" w:rsidRPr="004B27A3" w:rsidRDefault="00980910">
      <w:pPr>
        <w:ind w:firstLine="643"/>
        <w:rPr>
          <w:rFonts w:ascii="Times New Roman" w:eastAsia="仿宋_GB2312" w:hAnsi="Times New Roman"/>
        </w:rPr>
      </w:pPr>
      <w:r w:rsidRPr="004B27A3">
        <w:rPr>
          <w:rFonts w:ascii="Times New Roman" w:eastAsia="仿宋_GB2312" w:hAnsi="Times New Roman"/>
          <w:b/>
          <w:bCs/>
        </w:rPr>
        <w:t>C</w:t>
      </w:r>
      <w:r w:rsidRPr="004B27A3">
        <w:rPr>
          <w:rFonts w:ascii="Times New Roman" w:eastAsia="仿宋_GB2312" w:hAnsi="Times New Roman"/>
          <w:b/>
          <w:bCs/>
        </w:rPr>
        <w:t>档（</w:t>
      </w:r>
      <w:r w:rsidRPr="004B27A3">
        <w:rPr>
          <w:rFonts w:ascii="Times New Roman" w:eastAsia="仿宋_GB2312" w:hAnsi="Times New Roman"/>
          <w:b/>
          <w:bCs/>
        </w:rPr>
        <w:t>1</w:t>
      </w:r>
      <w:r w:rsidRPr="004B27A3">
        <w:rPr>
          <w:rFonts w:ascii="Times New Roman" w:eastAsia="仿宋_GB2312" w:hAnsi="Times New Roman"/>
          <w:b/>
          <w:bCs/>
        </w:rPr>
        <w:t>分）：</w:t>
      </w:r>
      <w:r w:rsidRPr="004B27A3">
        <w:rPr>
          <w:rFonts w:ascii="Times New Roman" w:eastAsia="仿宋_GB2312" w:hAnsi="Times New Roman" w:hint="eastAsia"/>
        </w:rPr>
        <w:t>售后方案不完善或不可行，缺乏关键要素（如无具体服务承诺），无法保障后期服务。</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hint="eastAsia"/>
          <w:b/>
          <w:bCs/>
        </w:rPr>
        <w:t>3</w:t>
      </w:r>
      <w:r w:rsidRPr="004B27A3">
        <w:rPr>
          <w:rFonts w:ascii="Times New Roman" w:eastAsia="仿宋_GB2312" w:hAnsi="Times New Roman" w:hint="eastAsia"/>
          <w:b/>
          <w:bCs/>
        </w:rPr>
        <w:t>、项目管理与风险控制（</w:t>
      </w:r>
      <w:r w:rsidRPr="004B27A3">
        <w:rPr>
          <w:rFonts w:ascii="Times New Roman" w:eastAsia="仿宋_GB2312" w:hAnsi="Times New Roman" w:hint="eastAsia"/>
          <w:b/>
          <w:bCs/>
        </w:rPr>
        <w:t>10</w:t>
      </w:r>
      <w:r w:rsidRPr="004B27A3">
        <w:rPr>
          <w:rFonts w:ascii="Times New Roman" w:eastAsia="仿宋_GB2312" w:hAnsi="Times New Roman" w:hint="eastAsia"/>
          <w:b/>
          <w:bCs/>
        </w:rPr>
        <w:t>分）</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hint="eastAsia"/>
          <w:b/>
          <w:bCs/>
        </w:rPr>
        <w:t>项目管理（</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A</w:t>
      </w:r>
      <w:r w:rsidRPr="004B27A3">
        <w:rPr>
          <w:rFonts w:ascii="Times New Roman" w:eastAsia="仿宋_GB2312" w:hAnsi="Times New Roman" w:hint="eastAsia"/>
          <w:b/>
          <w:bCs/>
        </w:rPr>
        <w:t>档（</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r w:rsidRPr="004B27A3">
        <w:rPr>
          <w:rFonts w:ascii="Times New Roman" w:eastAsia="仿宋_GB2312" w:hAnsi="Times New Roman" w:hint="eastAsia"/>
        </w:rPr>
        <w:t>项目组织结构清晰，人员配备合理，职责分工明确，沟通与协调机制健全、可行，能够高效推进项目，确保各方协同。</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B</w:t>
      </w:r>
      <w:r w:rsidRPr="004B27A3">
        <w:rPr>
          <w:rFonts w:ascii="Times New Roman" w:eastAsia="仿宋_GB2312" w:hAnsi="Times New Roman" w:hint="eastAsia"/>
          <w:b/>
          <w:bCs/>
        </w:rPr>
        <w:t>档（</w:t>
      </w:r>
      <w:r w:rsidRPr="004B27A3">
        <w:rPr>
          <w:rFonts w:ascii="Times New Roman" w:eastAsia="仿宋_GB2312" w:hAnsi="Times New Roman" w:hint="eastAsia"/>
          <w:b/>
          <w:bCs/>
        </w:rPr>
        <w:t>3</w:t>
      </w:r>
      <w:r w:rsidRPr="004B27A3">
        <w:rPr>
          <w:rFonts w:ascii="Times New Roman" w:eastAsia="仿宋_GB2312" w:hAnsi="Times New Roman" w:hint="eastAsia"/>
          <w:b/>
          <w:bCs/>
        </w:rPr>
        <w:t>分）：</w:t>
      </w:r>
      <w:r w:rsidRPr="004B27A3">
        <w:rPr>
          <w:rFonts w:ascii="Times New Roman" w:eastAsia="仿宋_GB2312" w:hAnsi="Times New Roman" w:hint="eastAsia"/>
        </w:rPr>
        <w:t>项目组织结构基本合理，人员配备和职责分工大致明确，沟通协调机制基本健全但效率一般，基本能满足项目管理需求。</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C</w:t>
      </w:r>
      <w:r w:rsidRPr="004B27A3">
        <w:rPr>
          <w:rFonts w:ascii="Times New Roman" w:eastAsia="仿宋_GB2312" w:hAnsi="Times New Roman" w:hint="eastAsia"/>
          <w:b/>
          <w:bCs/>
        </w:rPr>
        <w:t>档（</w:t>
      </w:r>
      <w:r w:rsidRPr="004B27A3">
        <w:rPr>
          <w:rFonts w:ascii="Times New Roman" w:eastAsia="仿宋_GB2312" w:hAnsi="Times New Roman" w:hint="eastAsia"/>
          <w:b/>
          <w:bCs/>
        </w:rPr>
        <w:t>1</w:t>
      </w:r>
      <w:r w:rsidRPr="004B27A3">
        <w:rPr>
          <w:rFonts w:ascii="Times New Roman" w:eastAsia="仿宋_GB2312" w:hAnsi="Times New Roman" w:hint="eastAsia"/>
          <w:b/>
          <w:bCs/>
        </w:rPr>
        <w:t>分）：</w:t>
      </w:r>
      <w:r w:rsidRPr="004B27A3">
        <w:rPr>
          <w:rFonts w:ascii="Times New Roman" w:eastAsia="仿宋_GB2312" w:hAnsi="Times New Roman" w:hint="eastAsia"/>
        </w:rPr>
        <w:t>项目组织结构混乱，人员配备不合理，职责分工不明确，沟通协调机制缺失或不健全，严重影响项目执行。</w:t>
      </w:r>
    </w:p>
    <w:p w:rsidR="008357FF" w:rsidRPr="004B27A3" w:rsidRDefault="00980910">
      <w:pPr>
        <w:ind w:firstLine="643"/>
        <w:rPr>
          <w:rFonts w:ascii="Times New Roman" w:eastAsia="仿宋_GB2312" w:hAnsi="Times New Roman"/>
          <w:b/>
          <w:bCs/>
        </w:rPr>
      </w:pPr>
      <w:r w:rsidRPr="004B27A3">
        <w:rPr>
          <w:rFonts w:ascii="Times New Roman" w:eastAsia="仿宋_GB2312" w:hAnsi="Times New Roman" w:hint="eastAsia"/>
          <w:b/>
          <w:bCs/>
        </w:rPr>
        <w:t>风险控制（</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A</w:t>
      </w:r>
      <w:r w:rsidRPr="004B27A3">
        <w:rPr>
          <w:rFonts w:ascii="Times New Roman" w:eastAsia="仿宋_GB2312" w:hAnsi="Times New Roman" w:hint="eastAsia"/>
          <w:b/>
          <w:bCs/>
        </w:rPr>
        <w:t>档（</w:t>
      </w:r>
      <w:r w:rsidRPr="004B27A3">
        <w:rPr>
          <w:rFonts w:ascii="Times New Roman" w:eastAsia="仿宋_GB2312" w:hAnsi="Times New Roman" w:hint="eastAsia"/>
          <w:b/>
          <w:bCs/>
        </w:rPr>
        <w:t>5</w:t>
      </w:r>
      <w:r w:rsidRPr="004B27A3">
        <w:rPr>
          <w:rFonts w:ascii="Times New Roman" w:eastAsia="仿宋_GB2312" w:hAnsi="Times New Roman" w:hint="eastAsia"/>
          <w:b/>
          <w:bCs/>
        </w:rPr>
        <w:t>分）：</w:t>
      </w:r>
      <w:r w:rsidRPr="004B27A3">
        <w:rPr>
          <w:rFonts w:ascii="Times New Roman" w:eastAsia="仿宋_GB2312" w:hAnsi="Times New Roman" w:hint="eastAsia"/>
        </w:rPr>
        <w:t>对项目实施过程中可能出现的风险识别全面，风险应对预案具体、有效，有针对性措施，能够有效规避或减轻风险影响。</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B</w:t>
      </w:r>
      <w:r w:rsidRPr="004B27A3">
        <w:rPr>
          <w:rFonts w:ascii="Times New Roman" w:eastAsia="仿宋_GB2312" w:hAnsi="Times New Roman" w:hint="eastAsia"/>
          <w:b/>
          <w:bCs/>
        </w:rPr>
        <w:t>档（</w:t>
      </w:r>
      <w:r w:rsidRPr="004B27A3">
        <w:rPr>
          <w:rFonts w:ascii="Times New Roman" w:eastAsia="仿宋_GB2312" w:hAnsi="Times New Roman" w:hint="eastAsia"/>
          <w:b/>
          <w:bCs/>
        </w:rPr>
        <w:t>3</w:t>
      </w:r>
      <w:r w:rsidRPr="004B27A3">
        <w:rPr>
          <w:rFonts w:ascii="Times New Roman" w:eastAsia="仿宋_GB2312" w:hAnsi="Times New Roman" w:hint="eastAsia"/>
          <w:b/>
          <w:bCs/>
        </w:rPr>
        <w:t>分）：</w:t>
      </w:r>
      <w:r w:rsidRPr="004B27A3">
        <w:rPr>
          <w:rFonts w:ascii="Times New Roman" w:eastAsia="仿宋_GB2312" w:hAnsi="Times New Roman" w:hint="eastAsia"/>
        </w:rPr>
        <w:t>风险识别基本全面，但可能遗漏部分风险；应对预案有一定针对性，但不够具体或有效性一般，基本能应对常见风险。</w:t>
      </w:r>
    </w:p>
    <w:p w:rsidR="008357FF" w:rsidRPr="004B27A3" w:rsidRDefault="00980910">
      <w:pPr>
        <w:ind w:firstLine="643"/>
        <w:rPr>
          <w:rFonts w:ascii="Times New Roman" w:eastAsia="仿宋_GB2312" w:hAnsi="Times New Roman"/>
        </w:rPr>
      </w:pPr>
      <w:r w:rsidRPr="004B27A3">
        <w:rPr>
          <w:rFonts w:ascii="Times New Roman" w:eastAsia="仿宋_GB2312" w:hAnsi="Times New Roman" w:hint="eastAsia"/>
          <w:b/>
          <w:bCs/>
        </w:rPr>
        <w:t>C</w:t>
      </w:r>
      <w:r w:rsidRPr="004B27A3">
        <w:rPr>
          <w:rFonts w:ascii="Times New Roman" w:eastAsia="仿宋_GB2312" w:hAnsi="Times New Roman" w:hint="eastAsia"/>
          <w:b/>
          <w:bCs/>
        </w:rPr>
        <w:t>档（</w:t>
      </w:r>
      <w:r w:rsidRPr="004B27A3">
        <w:rPr>
          <w:rFonts w:ascii="Times New Roman" w:eastAsia="仿宋_GB2312" w:hAnsi="Times New Roman" w:hint="eastAsia"/>
          <w:b/>
          <w:bCs/>
        </w:rPr>
        <w:t>1</w:t>
      </w:r>
      <w:r w:rsidRPr="004B27A3">
        <w:rPr>
          <w:rFonts w:ascii="Times New Roman" w:eastAsia="仿宋_GB2312" w:hAnsi="Times New Roman" w:hint="eastAsia"/>
          <w:b/>
          <w:bCs/>
        </w:rPr>
        <w:t>分）：</w:t>
      </w:r>
      <w:r w:rsidRPr="004B27A3">
        <w:rPr>
          <w:rFonts w:ascii="Times New Roman" w:eastAsia="仿宋_GB2312" w:hAnsi="Times New Roman" w:hint="eastAsia"/>
        </w:rPr>
        <w:t>风险识别不全面，遗漏重要风险；应对预案缺失或不可行，无法有效应对风险。</w:t>
      </w:r>
    </w:p>
    <w:bookmarkEnd w:id="0"/>
    <w:bookmarkEnd w:id="1"/>
    <w:p w:rsidR="008357FF" w:rsidRDefault="00980910">
      <w:pPr>
        <w:ind w:firstLineChars="0" w:firstLine="0"/>
        <w:rPr>
          <w:rFonts w:ascii="Times New Roman" w:eastAsia="仿宋_GB2312" w:hAnsi="Times New Roman"/>
          <w:b/>
          <w:highlight w:val="yellow"/>
        </w:rPr>
      </w:pPr>
      <w:r>
        <w:rPr>
          <w:rFonts w:ascii="Times New Roman" w:eastAsia="仿宋_GB2312" w:hAnsi="Times New Roman"/>
          <w:b/>
          <w:highlight w:val="yellow"/>
        </w:rPr>
        <w:t>（三）</w:t>
      </w:r>
      <w:r>
        <w:rPr>
          <w:rFonts w:ascii="Times New Roman" w:eastAsia="仿宋_GB2312" w:hAnsi="Times New Roman" w:hint="eastAsia"/>
          <w:b/>
          <w:highlight w:val="yellow"/>
        </w:rPr>
        <w:t>F3</w:t>
      </w:r>
      <w:r>
        <w:rPr>
          <w:rFonts w:ascii="Times New Roman" w:eastAsia="仿宋_GB2312" w:hAnsi="Times New Roman"/>
          <w:b/>
          <w:highlight w:val="yellow"/>
        </w:rPr>
        <w:t xml:space="preserve"> </w:t>
      </w:r>
      <w:r>
        <w:rPr>
          <w:rFonts w:ascii="Times New Roman" w:eastAsia="仿宋_GB2312" w:hAnsi="Times New Roman"/>
          <w:b/>
          <w:highlight w:val="yellow"/>
        </w:rPr>
        <w:t>价格部分（</w:t>
      </w:r>
      <w:r>
        <w:rPr>
          <w:rFonts w:ascii="Times New Roman" w:eastAsia="仿宋_GB2312" w:hAnsi="Times New Roman" w:hint="eastAsia"/>
          <w:b/>
          <w:highlight w:val="yellow"/>
        </w:rPr>
        <w:t>2</w:t>
      </w:r>
      <w:r>
        <w:rPr>
          <w:rFonts w:ascii="Times New Roman" w:eastAsia="仿宋_GB2312" w:hAnsi="Times New Roman"/>
          <w:b/>
          <w:highlight w:val="yellow"/>
        </w:rPr>
        <w:t>0</w:t>
      </w:r>
      <w:r>
        <w:rPr>
          <w:rFonts w:ascii="Times New Roman" w:eastAsia="仿宋_GB2312" w:hAnsi="Times New Roman"/>
          <w:b/>
          <w:highlight w:val="yellow"/>
        </w:rPr>
        <w:t>分）</w:t>
      </w:r>
    </w:p>
    <w:p w:rsidR="008357FF" w:rsidRDefault="00980910">
      <w:pPr>
        <w:rPr>
          <w:lang w:bidi="ar"/>
        </w:rPr>
      </w:pPr>
      <w:r>
        <w:rPr>
          <w:rFonts w:hint="eastAsia"/>
          <w:lang w:bidi="ar"/>
        </w:rPr>
        <w:t>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rsidR="008357FF" w:rsidRDefault="008357FF">
      <w:pPr>
        <w:rPr>
          <w:lang w:bidi="ar"/>
        </w:rPr>
      </w:pPr>
    </w:p>
    <w:p w:rsidR="008357FF" w:rsidRDefault="008357FF">
      <w:pPr>
        <w:rPr>
          <w:lang w:bidi="ar"/>
        </w:rPr>
      </w:pPr>
    </w:p>
    <w:p w:rsidR="008357FF" w:rsidRDefault="008357FF">
      <w:pPr>
        <w:rPr>
          <w:lang w:bidi="ar"/>
        </w:rPr>
      </w:pPr>
    </w:p>
    <w:p w:rsidR="008357FF" w:rsidRDefault="008357FF">
      <w:pPr>
        <w:rPr>
          <w:lang w:bidi="ar"/>
        </w:rPr>
      </w:pPr>
    </w:p>
    <w:p w:rsidR="008357FF" w:rsidRDefault="00980910">
      <w:pPr>
        <w:ind w:firstLine="643"/>
        <w:rPr>
          <w:b/>
          <w:bCs/>
        </w:rPr>
      </w:pPr>
      <w:r>
        <w:rPr>
          <w:rFonts w:hint="eastAsia"/>
          <w:b/>
          <w:bCs/>
        </w:rPr>
        <w:t>备注：</w:t>
      </w:r>
    </w:p>
    <w:p w:rsidR="008357FF" w:rsidRDefault="00980910">
      <w:pPr>
        <w:ind w:firstLine="643"/>
        <w:jc w:val="center"/>
        <w:rPr>
          <w:b/>
          <w:bCs/>
        </w:rPr>
      </w:pPr>
      <w:r>
        <w:rPr>
          <w:rFonts w:hint="eastAsia"/>
          <w:b/>
          <w:bCs/>
        </w:rPr>
        <w:t>潜在供应商可联系福建省质检院饶先生</w:t>
      </w:r>
      <w:r>
        <w:rPr>
          <w:b/>
          <w:bCs/>
        </w:rPr>
        <w:t xml:space="preserve"> 0591-837</w:t>
      </w:r>
      <w:r>
        <w:rPr>
          <w:rFonts w:hint="eastAsia"/>
          <w:b/>
          <w:bCs/>
        </w:rPr>
        <w:t>14525</w:t>
      </w:r>
      <w:r>
        <w:rPr>
          <w:b/>
          <w:bCs/>
        </w:rPr>
        <w:t>/13959195363进行实地勘探测量。</w:t>
      </w:r>
    </w:p>
    <w:p w:rsidR="008357FF" w:rsidRDefault="008357FF">
      <w:pPr>
        <w:ind w:firstLine="643"/>
        <w:rPr>
          <w:b/>
          <w:bCs/>
        </w:rPr>
      </w:pPr>
    </w:p>
    <w:p w:rsidR="008357FF" w:rsidRDefault="00980910">
      <w:pPr>
        <w:ind w:firstLine="643"/>
        <w:rPr>
          <w:rFonts w:ascii="方正小标宋简体" w:eastAsia="方正小标宋简体" w:hAnsi="方正小标宋简体" w:cs="方正小标宋简体"/>
          <w:b/>
          <w:bCs/>
          <w:highlight w:val="yellow"/>
        </w:rPr>
      </w:pPr>
      <w:r>
        <w:rPr>
          <w:rFonts w:ascii="方正小标宋简体" w:eastAsia="方正小标宋简体" w:hAnsi="方正小标宋简体" w:cs="方正小标宋简体" w:hint="eastAsia"/>
          <w:b/>
          <w:bCs/>
          <w:highlight w:val="yellow"/>
        </w:rPr>
        <w:t>（投标文件需提供营业执照等证明文件复印件、单位授权书、信用记录查询结果，缺一项即取消遴选资格）</w:t>
      </w:r>
    </w:p>
    <w:p w:rsidR="008357FF" w:rsidRDefault="00980910">
      <w:pPr>
        <w:ind w:firstLineChars="0" w:firstLine="0"/>
      </w:pPr>
      <w:r>
        <w:rPr>
          <w:rFonts w:hint="eastAsia"/>
        </w:rPr>
        <w:br w:type="page"/>
      </w:r>
    </w:p>
    <w:p w:rsidR="008357FF" w:rsidRDefault="00980910">
      <w:pPr>
        <w:ind w:firstLine="643"/>
      </w:pPr>
      <w:r>
        <w:rPr>
          <w:b/>
          <w:bCs/>
        </w:rPr>
        <w:t>营业执照等证明文件复印件</w:t>
      </w:r>
      <w:r>
        <w:t>：</w:t>
      </w:r>
      <w:r>
        <w:rPr>
          <w:rFonts w:cs="宋体" w:hint="eastAsia"/>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8357FF" w:rsidRDefault="00980910">
      <w:pPr>
        <w:ind w:firstLine="643"/>
      </w:pPr>
      <w:r>
        <w:rPr>
          <w:b/>
          <w:bCs/>
        </w:rPr>
        <w:t>单位授权书：</w:t>
      </w:r>
      <w:r>
        <w:rPr>
          <w:rFonts w:cs="宋体" w:hint="eastAsia"/>
        </w:rPr>
        <w:t>①</w:t>
      </w:r>
      <w:r>
        <w:t xml:space="preserve">投标人（自然人除外）：若投标人代表为单位授权的委托代理人，应提供本授权书；若投标人代表为单位负责人，应在此项下提交其身份证正反面复印件，可不提供本授权书。 </w:t>
      </w:r>
      <w:r>
        <w:rPr>
          <w:rFonts w:cs="宋体" w:hint="eastAsia"/>
        </w:rPr>
        <w:t>②</w:t>
      </w:r>
      <w:r>
        <w:t xml:space="preserve">投标人为自然人的，可不填写本授权书。 </w:t>
      </w:r>
    </w:p>
    <w:p w:rsidR="008357FF" w:rsidRDefault="00980910">
      <w:pPr>
        <w:ind w:firstLine="643"/>
      </w:pPr>
      <w:r>
        <w:rPr>
          <w:b/>
          <w:bCs/>
        </w:rPr>
        <w:t>信用记录查询结果：</w:t>
      </w:r>
      <w:r>
        <w:rPr>
          <w:rFonts w:cs="宋体" w:hint="eastAsia"/>
        </w:rPr>
        <w:t>①</w:t>
      </w:r>
      <w:r>
        <w:t xml:space="preserve">信用记录查询的截止时点：信用记录查询的截止时点为本项目投标截止当日。 </w:t>
      </w:r>
      <w:r>
        <w:rPr>
          <w:rFonts w:cs="宋体" w:hint="eastAsia"/>
        </w:rPr>
        <w:t>②</w:t>
      </w:r>
      <w:r>
        <w:t xml:space="preserve">信用记录查询渠道：信用中国 （www.creditchina.gov.cn）、中国政府采购网 （www.ccgp.gov.cn）。 </w:t>
      </w:r>
      <w:r>
        <w:rPr>
          <w:rFonts w:cs="宋体" w:hint="eastAsia"/>
        </w:rPr>
        <w:t>③</w:t>
      </w:r>
      <w:r>
        <w:t xml:space="preserve">信用记录的查询：由资格审查小组 通过上述网站查询并打印投标人的信用记录。 </w:t>
      </w:r>
      <w:r>
        <w:rPr>
          <w:rFonts w:cs="宋体" w:hint="eastAsia"/>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rsidR="008357FF" w:rsidRDefault="00980910">
      <w:r>
        <w:t xml:space="preserve"> </w:t>
      </w:r>
    </w:p>
    <w:p w:rsidR="008357FF" w:rsidRDefault="00980910">
      <w:pPr>
        <w:ind w:firstLine="643"/>
        <w:rPr>
          <w:b/>
          <w:bCs/>
        </w:rPr>
      </w:pPr>
      <w:r>
        <w:rPr>
          <w:rFonts w:hint="eastAsia"/>
          <w:b/>
          <w:bCs/>
        </w:rPr>
        <w:t>评分标准</w:t>
      </w:r>
    </w:p>
    <w:p w:rsidR="008357FF" w:rsidRDefault="00980910">
      <w:pPr>
        <w:ind w:firstLine="643"/>
        <w:rPr>
          <w:b/>
          <w:bCs/>
        </w:rPr>
      </w:pPr>
      <w:r>
        <w:rPr>
          <w:rFonts w:hint="eastAsia"/>
          <w:b/>
          <w:bCs/>
        </w:rPr>
        <w:t>技术部分为</w:t>
      </w:r>
      <w:r>
        <w:rPr>
          <w:b/>
          <w:bCs/>
        </w:rPr>
        <w:t>F1</w:t>
      </w:r>
      <w:r>
        <w:rPr>
          <w:rFonts w:hint="eastAsia"/>
          <w:b/>
          <w:bCs/>
        </w:rPr>
        <w:t>、商务部分为</w:t>
      </w:r>
      <w:r>
        <w:rPr>
          <w:b/>
          <w:bCs/>
        </w:rPr>
        <w:t>F2</w:t>
      </w:r>
      <w:r>
        <w:rPr>
          <w:rFonts w:hint="eastAsia"/>
          <w:b/>
          <w:bCs/>
        </w:rPr>
        <w:t>、价格部分为</w:t>
      </w:r>
      <w:r>
        <w:rPr>
          <w:b/>
          <w:bCs/>
        </w:rPr>
        <w:t>F3</w:t>
      </w:r>
    </w:p>
    <w:p w:rsidR="008357FF" w:rsidRDefault="00980910">
      <w:pPr>
        <w:ind w:firstLine="643"/>
        <w:rPr>
          <w:lang w:bidi="ar"/>
        </w:rPr>
      </w:pPr>
      <w:r>
        <w:rPr>
          <w:rFonts w:hint="eastAsia"/>
          <w:b/>
          <w:bCs/>
          <w:lang w:bidi="ar"/>
        </w:rPr>
        <w:t>本遴选项目满分为</w:t>
      </w:r>
      <w:r>
        <w:rPr>
          <w:b/>
          <w:bCs/>
          <w:lang w:bidi="ar"/>
        </w:rPr>
        <w:t>100</w:t>
      </w:r>
      <w:r>
        <w:rPr>
          <w:rFonts w:hint="eastAsia"/>
          <w:b/>
          <w:bCs/>
          <w:lang w:bidi="ar"/>
        </w:rPr>
        <w:t>分。各投标人的总评分</w:t>
      </w:r>
      <w:r>
        <w:rPr>
          <w:b/>
          <w:bCs/>
          <w:lang w:bidi="ar"/>
        </w:rPr>
        <w:t>=F1+F2+F3</w:t>
      </w:r>
      <w:r>
        <w:rPr>
          <w:rFonts w:hint="eastAsia"/>
          <w:b/>
          <w:bCs/>
          <w:lang w:bidi="ar"/>
        </w:rPr>
        <w:t>，其中技术分</w:t>
      </w:r>
      <w:r>
        <w:rPr>
          <w:b/>
          <w:bCs/>
          <w:lang w:bidi="ar"/>
        </w:rPr>
        <w:t>F1</w:t>
      </w:r>
      <w:r>
        <w:rPr>
          <w:rFonts w:hint="eastAsia"/>
          <w:b/>
          <w:bCs/>
          <w:lang w:bidi="ar"/>
        </w:rPr>
        <w:t>为55分</w:t>
      </w:r>
      <w:r>
        <w:rPr>
          <w:b/>
          <w:bCs/>
          <w:lang w:bidi="ar"/>
        </w:rPr>
        <w:t>,</w:t>
      </w:r>
      <w:r>
        <w:rPr>
          <w:rFonts w:hint="eastAsia"/>
          <w:b/>
          <w:bCs/>
          <w:lang w:bidi="ar"/>
        </w:rPr>
        <w:t>商务分</w:t>
      </w:r>
      <w:r>
        <w:rPr>
          <w:b/>
          <w:bCs/>
          <w:lang w:bidi="ar"/>
        </w:rPr>
        <w:t>F2</w:t>
      </w:r>
      <w:r>
        <w:rPr>
          <w:rFonts w:hint="eastAsia"/>
          <w:b/>
          <w:bCs/>
          <w:lang w:bidi="ar"/>
        </w:rPr>
        <w:t>为25分，价格分</w:t>
      </w:r>
      <w:r>
        <w:rPr>
          <w:b/>
          <w:bCs/>
          <w:lang w:bidi="ar"/>
        </w:rPr>
        <w:t>F3</w:t>
      </w:r>
      <w:r>
        <w:rPr>
          <w:rFonts w:hint="eastAsia"/>
          <w:b/>
          <w:bCs/>
          <w:lang w:bidi="ar"/>
        </w:rPr>
        <w:t>为20分。</w:t>
      </w:r>
      <w:r>
        <w:rPr>
          <w:rFonts w:hint="eastAsia"/>
          <w:lang w:bidi="ar"/>
        </w:rPr>
        <w:t>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rsidR="008357FF" w:rsidRDefault="00980910">
      <w:pPr>
        <w:rPr>
          <w:lang w:bidi="ar"/>
        </w:rPr>
      </w:pPr>
      <w:r>
        <w:rPr>
          <w:rFonts w:hint="eastAsia"/>
          <w:lang w:bidi="ar"/>
        </w:rPr>
        <w:t>各评委取各自总评分最高者作为推荐中标合作供应商，最后中标供应商以评委组投票数最高者最终确认。</w:t>
      </w:r>
    </w:p>
    <w:p w:rsidR="008357FF" w:rsidRDefault="008357FF">
      <w:pPr>
        <w:ind w:firstLineChars="0" w:firstLine="0"/>
      </w:pPr>
    </w:p>
    <w:sectPr w:rsidR="008357FF">
      <w:pgSz w:w="11906" w:h="16838"/>
      <w:pgMar w:top="1928"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10" w:rsidRDefault="00980910">
      <w:r>
        <w:separator/>
      </w:r>
    </w:p>
  </w:endnote>
  <w:endnote w:type="continuationSeparator" w:id="0">
    <w:p w:rsidR="00980910" w:rsidRDefault="0098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10" w:rsidRDefault="00980910">
      <w:r>
        <w:separator/>
      </w:r>
    </w:p>
  </w:footnote>
  <w:footnote w:type="continuationSeparator" w:id="0">
    <w:p w:rsidR="00980910" w:rsidRDefault="00980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0A0DB"/>
    <w:multiLevelType w:val="singleLevel"/>
    <w:tmpl w:val="4180A0D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172A27"/>
    <w:rsid w:val="00003E81"/>
    <w:rsid w:val="00005419"/>
    <w:rsid w:val="0005078F"/>
    <w:rsid w:val="00060F63"/>
    <w:rsid w:val="00080BD3"/>
    <w:rsid w:val="00094459"/>
    <w:rsid w:val="000A65EB"/>
    <w:rsid w:val="00102DB2"/>
    <w:rsid w:val="00143E63"/>
    <w:rsid w:val="0016237C"/>
    <w:rsid w:val="00172A27"/>
    <w:rsid w:val="00182A58"/>
    <w:rsid w:val="001B1D56"/>
    <w:rsid w:val="001F2E73"/>
    <w:rsid w:val="00207FBB"/>
    <w:rsid w:val="00265A28"/>
    <w:rsid w:val="00267D94"/>
    <w:rsid w:val="002A484E"/>
    <w:rsid w:val="002D3A53"/>
    <w:rsid w:val="002E7BBF"/>
    <w:rsid w:val="00302BD1"/>
    <w:rsid w:val="00310CE1"/>
    <w:rsid w:val="00326885"/>
    <w:rsid w:val="00333C3B"/>
    <w:rsid w:val="00337701"/>
    <w:rsid w:val="00394152"/>
    <w:rsid w:val="003D2570"/>
    <w:rsid w:val="003F2551"/>
    <w:rsid w:val="004070E9"/>
    <w:rsid w:val="00461637"/>
    <w:rsid w:val="0046632C"/>
    <w:rsid w:val="00482D85"/>
    <w:rsid w:val="004955C1"/>
    <w:rsid w:val="004A372E"/>
    <w:rsid w:val="004B27A3"/>
    <w:rsid w:val="004C5AD8"/>
    <w:rsid w:val="004E4DA7"/>
    <w:rsid w:val="004F63AE"/>
    <w:rsid w:val="00500263"/>
    <w:rsid w:val="00534279"/>
    <w:rsid w:val="00551D75"/>
    <w:rsid w:val="0058751A"/>
    <w:rsid w:val="005D2D6F"/>
    <w:rsid w:val="00623770"/>
    <w:rsid w:val="00644418"/>
    <w:rsid w:val="00672A77"/>
    <w:rsid w:val="006D59AC"/>
    <w:rsid w:val="00741D74"/>
    <w:rsid w:val="007865F5"/>
    <w:rsid w:val="007872E0"/>
    <w:rsid w:val="00797825"/>
    <w:rsid w:val="007A47B3"/>
    <w:rsid w:val="007C181E"/>
    <w:rsid w:val="00820F53"/>
    <w:rsid w:val="0083422B"/>
    <w:rsid w:val="008357FF"/>
    <w:rsid w:val="00881DC6"/>
    <w:rsid w:val="008A2210"/>
    <w:rsid w:val="008F32B9"/>
    <w:rsid w:val="00936584"/>
    <w:rsid w:val="00980910"/>
    <w:rsid w:val="009F7883"/>
    <w:rsid w:val="00A105CB"/>
    <w:rsid w:val="00A15C01"/>
    <w:rsid w:val="00A15D2B"/>
    <w:rsid w:val="00A570DF"/>
    <w:rsid w:val="00AC449E"/>
    <w:rsid w:val="00AD1581"/>
    <w:rsid w:val="00AF0C14"/>
    <w:rsid w:val="00B55E45"/>
    <w:rsid w:val="00BC011E"/>
    <w:rsid w:val="00BD3230"/>
    <w:rsid w:val="00BE325D"/>
    <w:rsid w:val="00BE622D"/>
    <w:rsid w:val="00BF7842"/>
    <w:rsid w:val="00C05B55"/>
    <w:rsid w:val="00C80C88"/>
    <w:rsid w:val="00C86F8B"/>
    <w:rsid w:val="00D246C9"/>
    <w:rsid w:val="00D679DA"/>
    <w:rsid w:val="00DA1871"/>
    <w:rsid w:val="00DC21AB"/>
    <w:rsid w:val="00DD14E1"/>
    <w:rsid w:val="00E86B58"/>
    <w:rsid w:val="00E9356F"/>
    <w:rsid w:val="00EE0E44"/>
    <w:rsid w:val="00F03D8B"/>
    <w:rsid w:val="00F15411"/>
    <w:rsid w:val="00F5446A"/>
    <w:rsid w:val="00F559AF"/>
    <w:rsid w:val="00F960C4"/>
    <w:rsid w:val="00FB5713"/>
    <w:rsid w:val="01CB297C"/>
    <w:rsid w:val="022F767D"/>
    <w:rsid w:val="02883488"/>
    <w:rsid w:val="02B96906"/>
    <w:rsid w:val="02E845D2"/>
    <w:rsid w:val="0303677A"/>
    <w:rsid w:val="031B6A4E"/>
    <w:rsid w:val="03A8476A"/>
    <w:rsid w:val="05A85F9A"/>
    <w:rsid w:val="05DC112D"/>
    <w:rsid w:val="065467ED"/>
    <w:rsid w:val="06A47871"/>
    <w:rsid w:val="06B86512"/>
    <w:rsid w:val="06C638E3"/>
    <w:rsid w:val="08014EBC"/>
    <w:rsid w:val="08FD1FCF"/>
    <w:rsid w:val="097D251D"/>
    <w:rsid w:val="0A1E20A6"/>
    <w:rsid w:val="0A7D08EF"/>
    <w:rsid w:val="0AA0137B"/>
    <w:rsid w:val="0AB6351E"/>
    <w:rsid w:val="0BF321CC"/>
    <w:rsid w:val="0C183166"/>
    <w:rsid w:val="0C542843"/>
    <w:rsid w:val="0C556E0F"/>
    <w:rsid w:val="0C5A18DE"/>
    <w:rsid w:val="0D4E5761"/>
    <w:rsid w:val="0D770B24"/>
    <w:rsid w:val="0DE820DC"/>
    <w:rsid w:val="0EBE1DF1"/>
    <w:rsid w:val="0EEF0769"/>
    <w:rsid w:val="0FC84B6A"/>
    <w:rsid w:val="10A6675D"/>
    <w:rsid w:val="110414F5"/>
    <w:rsid w:val="11A67F1D"/>
    <w:rsid w:val="1298498E"/>
    <w:rsid w:val="138E0413"/>
    <w:rsid w:val="139E2979"/>
    <w:rsid w:val="141F23CC"/>
    <w:rsid w:val="157C59CB"/>
    <w:rsid w:val="164A731D"/>
    <w:rsid w:val="16F10076"/>
    <w:rsid w:val="178A7F7B"/>
    <w:rsid w:val="18B53886"/>
    <w:rsid w:val="18DE0F40"/>
    <w:rsid w:val="18F040F9"/>
    <w:rsid w:val="19A85AA6"/>
    <w:rsid w:val="1A8C3B1A"/>
    <w:rsid w:val="1B255BD0"/>
    <w:rsid w:val="1B730595"/>
    <w:rsid w:val="1C7104B7"/>
    <w:rsid w:val="1EC846FB"/>
    <w:rsid w:val="1ECF7D63"/>
    <w:rsid w:val="1F3D3E4E"/>
    <w:rsid w:val="1FA37075"/>
    <w:rsid w:val="20920EFC"/>
    <w:rsid w:val="215D2DC3"/>
    <w:rsid w:val="224309F1"/>
    <w:rsid w:val="225E0E38"/>
    <w:rsid w:val="22A21616"/>
    <w:rsid w:val="234A71D0"/>
    <w:rsid w:val="236B4B4E"/>
    <w:rsid w:val="249A6818"/>
    <w:rsid w:val="25404F7A"/>
    <w:rsid w:val="25702FF9"/>
    <w:rsid w:val="26446337"/>
    <w:rsid w:val="28530A20"/>
    <w:rsid w:val="28B52A54"/>
    <w:rsid w:val="28F96979"/>
    <w:rsid w:val="29C1200E"/>
    <w:rsid w:val="2A5E6AAF"/>
    <w:rsid w:val="2AD021CB"/>
    <w:rsid w:val="2AFE1A16"/>
    <w:rsid w:val="2B6526BF"/>
    <w:rsid w:val="2C695F59"/>
    <w:rsid w:val="2C7D0F8D"/>
    <w:rsid w:val="2C9129A5"/>
    <w:rsid w:val="2D3377EA"/>
    <w:rsid w:val="2EDC2CF9"/>
    <w:rsid w:val="2F93021B"/>
    <w:rsid w:val="2FC07176"/>
    <w:rsid w:val="2FD40689"/>
    <w:rsid w:val="302C7114"/>
    <w:rsid w:val="30DD2092"/>
    <w:rsid w:val="32A23F73"/>
    <w:rsid w:val="32A92DDD"/>
    <w:rsid w:val="32DF3206"/>
    <w:rsid w:val="330B7859"/>
    <w:rsid w:val="337221BD"/>
    <w:rsid w:val="339A7E46"/>
    <w:rsid w:val="33FA13D4"/>
    <w:rsid w:val="38665C15"/>
    <w:rsid w:val="38C8511B"/>
    <w:rsid w:val="3A021C75"/>
    <w:rsid w:val="3A0A2948"/>
    <w:rsid w:val="3A431329"/>
    <w:rsid w:val="3A6C1053"/>
    <w:rsid w:val="3B14227E"/>
    <w:rsid w:val="3C134F1C"/>
    <w:rsid w:val="3C774C40"/>
    <w:rsid w:val="3D2924E6"/>
    <w:rsid w:val="3E4E15AB"/>
    <w:rsid w:val="3E9D3EF0"/>
    <w:rsid w:val="3F726556"/>
    <w:rsid w:val="44197845"/>
    <w:rsid w:val="44B609C8"/>
    <w:rsid w:val="45347553"/>
    <w:rsid w:val="4546533B"/>
    <w:rsid w:val="47887AAC"/>
    <w:rsid w:val="47A55818"/>
    <w:rsid w:val="47F00E85"/>
    <w:rsid w:val="49C91C9A"/>
    <w:rsid w:val="49FD4A73"/>
    <w:rsid w:val="4A4B039E"/>
    <w:rsid w:val="4A4F31F8"/>
    <w:rsid w:val="4A7F29C9"/>
    <w:rsid w:val="4ABD43D0"/>
    <w:rsid w:val="4C88631A"/>
    <w:rsid w:val="4EA4073F"/>
    <w:rsid w:val="528509CB"/>
    <w:rsid w:val="535C6E92"/>
    <w:rsid w:val="54A87D12"/>
    <w:rsid w:val="5537365B"/>
    <w:rsid w:val="55F1744D"/>
    <w:rsid w:val="56DB3D0C"/>
    <w:rsid w:val="5B743E4F"/>
    <w:rsid w:val="5C2432B9"/>
    <w:rsid w:val="5C3F18E4"/>
    <w:rsid w:val="5C8E79B5"/>
    <w:rsid w:val="5DFC50BD"/>
    <w:rsid w:val="5ED837A7"/>
    <w:rsid w:val="5F764B7B"/>
    <w:rsid w:val="5FD1298F"/>
    <w:rsid w:val="60494F5F"/>
    <w:rsid w:val="60FB7B42"/>
    <w:rsid w:val="61C0014F"/>
    <w:rsid w:val="625E1DEF"/>
    <w:rsid w:val="62D83CB7"/>
    <w:rsid w:val="62F441A5"/>
    <w:rsid w:val="637A7B90"/>
    <w:rsid w:val="638E7F62"/>
    <w:rsid w:val="63B4491F"/>
    <w:rsid w:val="63E92BFA"/>
    <w:rsid w:val="64C4255D"/>
    <w:rsid w:val="65E848BE"/>
    <w:rsid w:val="660179E7"/>
    <w:rsid w:val="67873066"/>
    <w:rsid w:val="67D601D2"/>
    <w:rsid w:val="68344483"/>
    <w:rsid w:val="685C4343"/>
    <w:rsid w:val="68B732C1"/>
    <w:rsid w:val="697B001E"/>
    <w:rsid w:val="69AF3970"/>
    <w:rsid w:val="69FF49F3"/>
    <w:rsid w:val="6A481063"/>
    <w:rsid w:val="6ADD08B6"/>
    <w:rsid w:val="6B834DB8"/>
    <w:rsid w:val="6BCE176C"/>
    <w:rsid w:val="6DC77328"/>
    <w:rsid w:val="6DFA2FFA"/>
    <w:rsid w:val="6EC45F46"/>
    <w:rsid w:val="72294059"/>
    <w:rsid w:val="722A5ED5"/>
    <w:rsid w:val="73436B4D"/>
    <w:rsid w:val="73846894"/>
    <w:rsid w:val="74116287"/>
    <w:rsid w:val="743069A4"/>
    <w:rsid w:val="745F3C79"/>
    <w:rsid w:val="74741D27"/>
    <w:rsid w:val="761855A7"/>
    <w:rsid w:val="76A806BB"/>
    <w:rsid w:val="77347DE5"/>
    <w:rsid w:val="77B252CF"/>
    <w:rsid w:val="7AAD3D95"/>
    <w:rsid w:val="7AB349DD"/>
    <w:rsid w:val="7B0D52CF"/>
    <w:rsid w:val="7B6D768F"/>
    <w:rsid w:val="7BA448B7"/>
    <w:rsid w:val="7C3E66E2"/>
    <w:rsid w:val="7C525AA4"/>
    <w:rsid w:val="7C60211A"/>
    <w:rsid w:val="7C91769B"/>
    <w:rsid w:val="7D590134"/>
    <w:rsid w:val="7D815A75"/>
    <w:rsid w:val="7DA62C8D"/>
    <w:rsid w:val="7E3D1A2B"/>
    <w:rsid w:val="7EAB425E"/>
    <w:rsid w:val="7EDE53B6"/>
    <w:rsid w:val="7F1072DF"/>
    <w:rsid w:val="7FBA20AE"/>
    <w:rsid w:val="7FE21A24"/>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2AE595-1FDB-4BE5-B832-B941A85A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Chars="200" w:firstLine="640"/>
    </w:pPr>
    <w:rPr>
      <w:rFonts w:ascii="仿宋" w:eastAsia="仿宋" w:hAnsi="仿宋"/>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Plain Text"/>
    <w:basedOn w:val="a"/>
    <w:qFormat/>
    <w:rPr>
      <w:rFonts w:ascii="宋体" w:hAnsi="Courier New"/>
      <w:sz w:val="19"/>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null3">
    <w:name w:val="null3"/>
    <w:hidden/>
    <w:qFormat/>
    <w:pPr>
      <w:jc w:val="center"/>
    </w:pPr>
    <w:rPr>
      <w:rFonts w:asciiTheme="minorHAnsi" w:eastAsiaTheme="minorEastAsia" w:hAnsiTheme="minorHAnsi" w:cstheme="minorBidi" w:hint="eastAsia"/>
      <w:lang w:eastAsia="zh-Hans"/>
    </w:rPr>
  </w:style>
  <w:style w:type="paragraph" w:styleId="ac">
    <w:name w:val="List Paragraph"/>
    <w:basedOn w:val="a"/>
    <w:uiPriority w:val="99"/>
    <w:qFormat/>
    <w:pPr>
      <w:ind w:firstLine="420"/>
    </w:pPr>
  </w:style>
  <w:style w:type="paragraph" w:customStyle="1" w:styleId="1">
    <w:name w:val="修订1"/>
    <w:hidden/>
    <w:uiPriority w:val="99"/>
    <w:unhideWhenUsed/>
    <w:qFormat/>
    <w:rPr>
      <w:rFonts w:ascii="仿宋" w:eastAsia="仿宋" w:hAnsi="仿宋"/>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3222</Words>
  <Characters>220</Characters>
  <Application>Microsoft Office Word</Application>
  <DocSecurity>0</DocSecurity>
  <Lines>1</Lines>
  <Paragraphs>6</Paragraphs>
  <ScaleCrop>false</ScaleCrop>
  <Company>Lenovo</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bgs</dc:creator>
  <cp:lastModifiedBy>饶衍冰</cp:lastModifiedBy>
  <cp:revision>5</cp:revision>
  <cp:lastPrinted>2025-09-28T01:26:00Z</cp:lastPrinted>
  <dcterms:created xsi:type="dcterms:W3CDTF">2026-03-17T03:28:00Z</dcterms:created>
  <dcterms:modified xsi:type="dcterms:W3CDTF">2026-03-30T12:14:00Z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04FB4B989E91494DADC616A41D6241A2_13</vt:lpwstr>
  </property>
  <property fmtid="{D5CDD505-2E9C-101B-9397-08002B2CF9AE}" pid="4" name="KSOTemplateDocerSaveRecord">
    <vt:lpwstr>eyJoZGlkIjoiZWFkYjZmYTYwOWIxNmZmNzQ3ODgxNmUzNmI4YTk5MTMiLCJ1c2VySWQiOiI3NDY3ODU4MzQifQ==</vt:lpwstr>
  </property>
</Properties>
</file>