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0"/>
          <w:szCs w:val="48"/>
        </w:rPr>
      </w:pPr>
      <w:r>
        <w:rPr>
          <w:rFonts w:hint="eastAsia"/>
          <w:b/>
          <w:bCs/>
          <w:sz w:val="40"/>
          <w:szCs w:val="48"/>
        </w:rPr>
        <w:t>2026马尾基地实验废水检测及职业健康安全监测（废水、废气、噪声检测）需求</w:t>
      </w:r>
    </w:p>
    <w:p>
      <w:pPr>
        <w:rPr>
          <w:sz w:val="32"/>
          <w:szCs w:val="40"/>
        </w:rPr>
      </w:pPr>
      <w:r>
        <w:rPr>
          <w:rFonts w:hint="eastAsia"/>
          <w:sz w:val="32"/>
          <w:szCs w:val="40"/>
        </w:rPr>
        <w:t xml:space="preserve">                </w:t>
      </w:r>
    </w:p>
    <w:p>
      <w:pPr>
        <w:jc w:val="center"/>
        <w:rPr>
          <w:sz w:val="32"/>
          <w:szCs w:val="40"/>
        </w:rPr>
      </w:pPr>
      <w:r>
        <w:rPr>
          <w:rFonts w:hint="eastAsia"/>
          <w:sz w:val="32"/>
          <w:szCs w:val="40"/>
        </w:rPr>
        <w:t xml:space="preserve">                    需求调研人员：</w:t>
      </w:r>
    </w:p>
    <w:p>
      <w:pPr>
        <w:jc w:val="center"/>
        <w:rPr>
          <w:sz w:val="32"/>
          <w:szCs w:val="40"/>
        </w:rPr>
      </w:pPr>
      <w:r>
        <w:rPr>
          <w:rFonts w:hint="eastAsia"/>
          <w:sz w:val="32"/>
          <w:szCs w:val="40"/>
        </w:rPr>
        <w:t xml:space="preserve">                          </w:t>
      </w:r>
    </w:p>
    <w:p>
      <w:pPr>
        <w:numPr>
          <w:ilvl w:val="0"/>
          <w:numId w:val="2"/>
        </w:numPr>
        <w:jc w:val="left"/>
        <w:rPr>
          <w:b/>
          <w:bCs/>
          <w:sz w:val="28"/>
          <w:szCs w:val="36"/>
        </w:rPr>
      </w:pPr>
      <w:r>
        <w:rPr>
          <w:rFonts w:hint="eastAsia"/>
          <w:b/>
          <w:bCs/>
          <w:sz w:val="28"/>
          <w:szCs w:val="36"/>
        </w:rPr>
        <w:t>项目概况</w:t>
      </w:r>
    </w:p>
    <w:p>
      <w:pPr>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本项目旨在为我院采购专业的第三方环境与职业健康安全监测服务。服务期限为一年，要求投标机构必须具备相应检测资质与能力。</w:t>
      </w:r>
    </w:p>
    <w:p>
      <w:pPr>
        <w:ind w:firstLine="643" w:firstLineChars="200"/>
        <w:jc w:val="left"/>
        <w:rPr>
          <w:rFonts w:ascii="Times New Roman" w:hAnsi="Times New Roman" w:eastAsia="仿宋_GB2312" w:cs="Times New Roman"/>
          <w:sz w:val="32"/>
          <w:szCs w:val="32"/>
        </w:rPr>
      </w:pPr>
      <w:r>
        <w:rPr>
          <w:rFonts w:ascii="Times New Roman" w:hAnsi="Times New Roman" w:eastAsia="仿宋_GB2312" w:cs="Times New Roman"/>
          <w:b/>
          <w:bCs/>
          <w:sz w:val="32"/>
          <w:szCs w:val="32"/>
        </w:rPr>
        <w:t>项目预算：</w:t>
      </w:r>
      <w:r>
        <w:rPr>
          <w:rFonts w:hint="eastAsia" w:ascii="Times New Roman" w:hAnsi="Times New Roman" w:eastAsia="仿宋_GB2312" w:cs="Times New Roman"/>
          <w:sz w:val="32"/>
          <w:szCs w:val="32"/>
        </w:rPr>
        <w:t>3.98</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w:t>
      </w:r>
    </w:p>
    <w:p>
      <w:pPr>
        <w:ind w:firstLine="643" w:firstLineChars="200"/>
        <w:jc w:val="left"/>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技术和服务要求：</w:t>
      </w:r>
    </w:p>
    <w:p>
      <w:pPr>
        <w:spacing w:line="560" w:lineRule="exact"/>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1.</w:t>
      </w:r>
      <w:r>
        <w:rPr>
          <w:rFonts w:ascii="Times New Roman" w:hAnsi="Times New Roman" w:eastAsia="仿宋_GB2312" w:cs="Times New Roman"/>
          <w:b/>
          <w:bCs/>
          <w:sz w:val="32"/>
          <w:szCs w:val="32"/>
        </w:rPr>
        <w:t>每</w:t>
      </w:r>
      <w:r>
        <w:rPr>
          <w:rFonts w:hint="eastAsia" w:ascii="Times New Roman" w:hAnsi="Times New Roman" w:eastAsia="仿宋_GB2312" w:cs="Times New Roman"/>
          <w:b/>
          <w:bCs/>
          <w:sz w:val="32"/>
          <w:szCs w:val="32"/>
        </w:rPr>
        <w:t>季度</w:t>
      </w:r>
      <w:r>
        <w:rPr>
          <w:rFonts w:ascii="Times New Roman" w:hAnsi="Times New Roman" w:eastAsia="仿宋_GB2312" w:cs="Times New Roman"/>
          <w:b/>
          <w:bCs/>
          <w:sz w:val="32"/>
          <w:szCs w:val="32"/>
        </w:rPr>
        <w:t>对我院</w:t>
      </w:r>
      <w:r>
        <w:rPr>
          <w:rFonts w:hint="eastAsia" w:ascii="Times New Roman" w:hAnsi="Times New Roman" w:eastAsia="仿宋_GB2312" w:cs="Times New Roman"/>
          <w:b/>
          <w:bCs/>
          <w:sz w:val="32"/>
          <w:szCs w:val="32"/>
        </w:rPr>
        <w:t>马尾总部</w:t>
      </w:r>
      <w:r>
        <w:rPr>
          <w:rFonts w:ascii="Times New Roman" w:hAnsi="Times New Roman" w:eastAsia="仿宋_GB2312" w:cs="Times New Roman"/>
          <w:b/>
          <w:bCs/>
          <w:sz w:val="32"/>
          <w:szCs w:val="32"/>
        </w:rPr>
        <w:t>进行实验废水（１个出水点）水质检测。</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检测项目：</w:t>
      </w:r>
      <w:r>
        <w:rPr>
          <w:rFonts w:ascii="Times New Roman" w:hAnsi="Times New Roman" w:eastAsia="仿宋_GB2312" w:cs="Times New Roman"/>
          <w:sz w:val="32"/>
          <w:szCs w:val="32"/>
        </w:rPr>
        <w:t>易沉固体、悬浮物、溶解性固体、动植物油、石油类、pH 值、五日生化需氧量、化学需氧量、氨氮、总氮、总磷、阴离子表面活性剂等）；</w:t>
      </w:r>
    </w:p>
    <w:p>
      <w:pPr>
        <w:spacing w:line="560" w:lineRule="exact"/>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2.</w:t>
      </w:r>
      <w:r>
        <w:rPr>
          <w:rFonts w:ascii="Times New Roman" w:hAnsi="Times New Roman" w:eastAsia="仿宋_GB2312" w:cs="Times New Roman"/>
          <w:b/>
          <w:bCs/>
          <w:sz w:val="32"/>
          <w:szCs w:val="32"/>
        </w:rPr>
        <w:t>每年一次对废水</w:t>
      </w:r>
      <w:r>
        <w:rPr>
          <w:rFonts w:hint="eastAsia" w:ascii="Times New Roman" w:hAnsi="Times New Roman" w:eastAsia="仿宋_GB2312" w:cs="Times New Roman"/>
          <w:b/>
          <w:bCs/>
          <w:sz w:val="32"/>
          <w:szCs w:val="32"/>
        </w:rPr>
        <w:t>（仅马尾总部）</w:t>
      </w:r>
      <w:r>
        <w:rPr>
          <w:rFonts w:ascii="Times New Roman" w:hAnsi="Times New Roman" w:eastAsia="仿宋_GB2312" w:cs="Times New Roman"/>
          <w:b/>
          <w:bCs/>
          <w:sz w:val="32"/>
          <w:szCs w:val="32"/>
        </w:rPr>
        <w:t>、废气（含</w:t>
      </w:r>
      <w:r>
        <w:rPr>
          <w:rFonts w:hint="eastAsia" w:ascii="Times New Roman" w:hAnsi="Times New Roman" w:eastAsia="仿宋_GB2312" w:cs="Times New Roman"/>
          <w:b/>
          <w:bCs/>
          <w:sz w:val="32"/>
          <w:szCs w:val="32"/>
        </w:rPr>
        <w:t>马尾总部及怡山基地</w:t>
      </w:r>
      <w:r>
        <w:rPr>
          <w:rFonts w:ascii="Times New Roman" w:hAnsi="Times New Roman" w:eastAsia="仿宋_GB2312" w:cs="Times New Roman"/>
          <w:b/>
          <w:bCs/>
          <w:sz w:val="32"/>
          <w:szCs w:val="32"/>
        </w:rPr>
        <w:t>）、噪声检测（含</w:t>
      </w:r>
      <w:r>
        <w:rPr>
          <w:rFonts w:hint="eastAsia" w:ascii="Times New Roman" w:hAnsi="Times New Roman" w:eastAsia="仿宋_GB2312" w:cs="Times New Roman"/>
          <w:b/>
          <w:bCs/>
          <w:sz w:val="32"/>
          <w:szCs w:val="32"/>
        </w:rPr>
        <w:t>马尾总部及怡山基地</w:t>
      </w:r>
      <w:r>
        <w:rPr>
          <w:rFonts w:ascii="Times New Roman" w:hAnsi="Times New Roman" w:eastAsia="仿宋_GB2312" w:cs="Times New Roman"/>
          <w:b/>
          <w:bCs/>
          <w:sz w:val="32"/>
          <w:szCs w:val="32"/>
        </w:rPr>
        <w:t>）。</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检测项目：</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b/>
          <w:bCs/>
          <w:sz w:val="32"/>
          <w:szCs w:val="32"/>
        </w:rPr>
        <w:t>无组织废气：</w:t>
      </w:r>
      <w:r>
        <w:rPr>
          <w:rFonts w:ascii="Times New Roman" w:hAnsi="Times New Roman" w:eastAsia="仿宋_GB2312" w:cs="Times New Roman"/>
          <w:sz w:val="32"/>
          <w:szCs w:val="32"/>
        </w:rPr>
        <w:t>非甲烷总烃、颗粒物、甲苯、氮氧化物、硫酸雾、氯化氢等；</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b/>
          <w:bCs/>
          <w:sz w:val="32"/>
          <w:szCs w:val="32"/>
        </w:rPr>
        <w:t>固定污染源废气：</w:t>
      </w:r>
      <w:r>
        <w:rPr>
          <w:rFonts w:ascii="Times New Roman" w:hAnsi="Times New Roman" w:eastAsia="仿宋_GB2312" w:cs="Times New Roman"/>
          <w:sz w:val="32"/>
          <w:szCs w:val="32"/>
        </w:rPr>
        <w:t>非甲烷总烃、甲苯</w:t>
      </w:r>
      <w:r>
        <w:rPr>
          <w:rFonts w:hint="eastAsia" w:ascii="Times New Roman" w:hAnsi="Times New Roman" w:eastAsia="仿宋_GB2312" w:cs="Times New Roman"/>
          <w:sz w:val="32"/>
          <w:szCs w:val="32"/>
        </w:rPr>
        <w:t>（3根排气筒），</w:t>
      </w:r>
      <w:r>
        <w:rPr>
          <w:rFonts w:ascii="Times New Roman" w:hAnsi="Times New Roman" w:eastAsia="仿宋_GB2312" w:cs="Times New Roman"/>
          <w:sz w:val="32"/>
          <w:szCs w:val="32"/>
        </w:rPr>
        <w:t>氮氧化物、硫酸雾、氯化氢</w:t>
      </w:r>
      <w:r>
        <w:rPr>
          <w:rFonts w:hint="eastAsia" w:ascii="Times New Roman" w:hAnsi="Times New Roman" w:eastAsia="仿宋_GB2312" w:cs="Times New Roman"/>
          <w:sz w:val="32"/>
          <w:szCs w:val="32"/>
        </w:rPr>
        <w:t>（2根排气筒），食堂</w:t>
      </w:r>
      <w:r>
        <w:rPr>
          <w:rFonts w:ascii="Times New Roman" w:hAnsi="Times New Roman" w:eastAsia="仿宋_GB2312" w:cs="Times New Roman"/>
          <w:sz w:val="32"/>
          <w:szCs w:val="32"/>
        </w:rPr>
        <w:t>油烟</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含</w:t>
      </w:r>
      <w:r>
        <w:rPr>
          <w:rFonts w:hint="eastAsia" w:ascii="Times New Roman" w:hAnsi="Times New Roman" w:eastAsia="仿宋_GB2312" w:cs="Times New Roman"/>
          <w:sz w:val="32"/>
          <w:szCs w:val="32"/>
        </w:rPr>
        <w:t>总部和怡山基地）</w:t>
      </w:r>
      <w:r>
        <w:rPr>
          <w:rFonts w:ascii="Times New Roman" w:hAnsi="Times New Roman" w:eastAsia="仿宋_GB2312" w:cs="Times New Roman"/>
          <w:sz w:val="32"/>
          <w:szCs w:val="32"/>
        </w:rPr>
        <w:t>等；</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b/>
          <w:bCs/>
          <w:sz w:val="32"/>
          <w:szCs w:val="32"/>
        </w:rPr>
        <w:t>废水：</w:t>
      </w:r>
      <w:r>
        <w:rPr>
          <w:rFonts w:ascii="Times New Roman" w:hAnsi="Times New Roman" w:eastAsia="仿宋_GB2312" w:cs="Times New Roman"/>
          <w:sz w:val="32"/>
          <w:szCs w:val="32"/>
        </w:rPr>
        <w:t>pH值、化学需氧量、五日生化需氧量、悬浮物、氨氮、动植物油等；</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b/>
          <w:bCs/>
          <w:sz w:val="32"/>
          <w:szCs w:val="32"/>
        </w:rPr>
        <w:t>噪声：</w:t>
      </w:r>
      <w:r>
        <w:rPr>
          <w:rFonts w:ascii="Times New Roman" w:hAnsi="Times New Roman" w:eastAsia="仿宋_GB2312" w:cs="Times New Roman"/>
          <w:sz w:val="32"/>
          <w:szCs w:val="32"/>
        </w:rPr>
        <w:t xml:space="preserve">厂界噪声。 </w:t>
      </w:r>
    </w:p>
    <w:p>
      <w:pPr>
        <w:pStyle w:val="2"/>
        <w:spacing w:line="560" w:lineRule="exact"/>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3.每年对闽清基地厂区进行固定污染源废气、无组织废气，噪声检测。</w:t>
      </w:r>
    </w:p>
    <w:p>
      <w:pPr>
        <w:pStyle w:val="2"/>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检测项目：</w:t>
      </w:r>
    </w:p>
    <w:p>
      <w:pPr>
        <w:pStyle w:val="2"/>
        <w:numPr>
          <w:ilvl w:val="0"/>
          <w:numId w:val="3"/>
        </w:num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固定污染源废气（每年一次）：</w:t>
      </w:r>
      <w:bookmarkStart w:id="0" w:name="OLE_LINK1"/>
      <w:r>
        <w:rPr>
          <w:rFonts w:hint="eastAsia" w:ascii="Times New Roman" w:hAnsi="Times New Roman" w:eastAsia="仿宋_GB2312" w:cs="Times New Roman"/>
          <w:sz w:val="32"/>
          <w:szCs w:val="32"/>
        </w:rPr>
        <w:t>氮氧化物、二氧化硫、林格曼黑度、颗粒物、非甲烷总烃</w:t>
      </w:r>
      <w:bookmarkEnd w:id="0"/>
      <w:r>
        <w:rPr>
          <w:rFonts w:hint="eastAsia" w:ascii="Times New Roman" w:hAnsi="Times New Roman" w:eastAsia="仿宋_GB2312" w:cs="Times New Roman"/>
          <w:sz w:val="32"/>
          <w:szCs w:val="32"/>
        </w:rPr>
        <w:t>；</w:t>
      </w:r>
    </w:p>
    <w:p>
      <w:pPr>
        <w:pStyle w:val="2"/>
        <w:numPr>
          <w:ilvl w:val="0"/>
          <w:numId w:val="3"/>
        </w:num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厂界无组织废气（每年一次）：</w:t>
      </w:r>
      <w:r>
        <w:rPr>
          <w:rFonts w:hint="eastAsia" w:ascii="Times New Roman" w:hAnsi="Times New Roman" w:eastAsia="仿宋_GB2312" w:cs="Times New Roman"/>
          <w:sz w:val="32"/>
          <w:szCs w:val="32"/>
        </w:rPr>
        <w:t>氮氧化物、二氧化硫、颗粒物、非甲烷总烃；</w:t>
      </w:r>
    </w:p>
    <w:p>
      <w:pPr>
        <w:pStyle w:val="2"/>
        <w:spacing w:line="560" w:lineRule="exact"/>
        <w:ind w:left="420" w:leftChars="200" w:firstLine="320" w:firstLineChars="100"/>
        <w:rPr>
          <w:rFonts w:eastAsia="仿宋_GB2312"/>
        </w:rPr>
      </w:pPr>
      <w:r>
        <w:rPr>
          <w:rFonts w:hint="eastAsia" w:ascii="Times New Roman" w:hAnsi="Times New Roman" w:eastAsia="仿宋_GB2312" w:cs="Times New Roman"/>
          <w:sz w:val="32"/>
          <w:szCs w:val="32"/>
        </w:rPr>
        <w:t>（3）</w:t>
      </w:r>
      <w:r>
        <w:rPr>
          <w:rFonts w:hint="eastAsia" w:ascii="Times New Roman" w:hAnsi="Times New Roman" w:eastAsia="仿宋_GB2312" w:cs="Times New Roman"/>
          <w:b/>
          <w:bCs/>
          <w:sz w:val="32"/>
          <w:szCs w:val="32"/>
        </w:rPr>
        <w:t>工业窑炉周边无组织废气：</w:t>
      </w:r>
      <w:r>
        <w:rPr>
          <w:rFonts w:hint="eastAsia" w:ascii="Times New Roman" w:hAnsi="Times New Roman" w:eastAsia="仿宋_GB2312" w:cs="Times New Roman"/>
          <w:sz w:val="32"/>
          <w:szCs w:val="32"/>
        </w:rPr>
        <w:t>颗粒物（每半年一次）、非甲烷总烃（每年一次），厂界噪声（每季度一次）。</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spacing w:line="560" w:lineRule="exact"/>
        <w:ind w:firstLine="640" w:firstLineChars="200"/>
        <w:rPr>
          <w:rFonts w:ascii="Times New Roman" w:hAnsi="Times New Roman" w:eastAsia="仿宋_GB2312" w:cs="Times New Roman"/>
          <w:sz w:val="32"/>
          <w:szCs w:val="32"/>
        </w:rPr>
      </w:pPr>
    </w:p>
    <w:p>
      <w:pPr>
        <w:numPr>
          <w:ilvl w:val="0"/>
          <w:numId w:val="2"/>
        </w:numPr>
        <w:jc w:val="left"/>
        <w:rPr>
          <w:b/>
          <w:bCs/>
          <w:sz w:val="28"/>
          <w:szCs w:val="36"/>
        </w:rPr>
      </w:pPr>
      <w:r>
        <w:rPr>
          <w:rFonts w:hint="eastAsia"/>
          <w:b/>
          <w:bCs/>
          <w:sz w:val="28"/>
          <w:szCs w:val="36"/>
        </w:rPr>
        <w:t>评分办法</w:t>
      </w:r>
    </w:p>
    <w:tbl>
      <w:tblPr>
        <w:tblStyle w:val="10"/>
        <w:tblW w:w="9075" w:type="dxa"/>
        <w:tblInd w:w="93" w:type="dxa"/>
        <w:tblLayout w:type="autofit"/>
        <w:tblCellMar>
          <w:top w:w="0" w:type="dxa"/>
          <w:left w:w="108" w:type="dxa"/>
          <w:bottom w:w="0" w:type="dxa"/>
          <w:right w:w="108" w:type="dxa"/>
        </w:tblCellMar>
      </w:tblPr>
      <w:tblGrid>
        <w:gridCol w:w="1080"/>
        <w:gridCol w:w="2460"/>
        <w:gridCol w:w="4290"/>
        <w:gridCol w:w="1245"/>
      </w:tblGrid>
      <w:tr>
        <w:tblPrEx>
          <w:tblCellMar>
            <w:top w:w="0" w:type="dxa"/>
            <w:left w:w="108" w:type="dxa"/>
            <w:bottom w:w="0" w:type="dxa"/>
            <w:right w:w="108" w:type="dxa"/>
          </w:tblCellMar>
        </w:tblPrEx>
        <w:trPr>
          <w:trHeight w:val="405" w:hRule="atLeast"/>
        </w:trPr>
        <w:tc>
          <w:tcPr>
            <w:tcW w:w="9075"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bCs/>
                <w:color w:val="0F1115"/>
                <w:sz w:val="32"/>
                <w:szCs w:val="32"/>
              </w:rPr>
            </w:pPr>
            <w:r>
              <w:rPr>
                <w:rFonts w:hint="eastAsia" w:ascii="仿宋_GB2312" w:hAnsi="宋体" w:eastAsia="仿宋_GB2312" w:cs="仿宋_GB2312"/>
                <w:b/>
                <w:bCs/>
                <w:color w:val="0F1115"/>
                <w:kern w:val="0"/>
                <w:sz w:val="32"/>
                <w:szCs w:val="32"/>
                <w:lang w:bidi="ar"/>
              </w:rPr>
              <w:t>一、</w:t>
            </w:r>
            <w:r>
              <w:rPr>
                <w:rFonts w:ascii="Times New Roman" w:hAnsi="Times New Roman" w:eastAsia="仿宋_GB2312" w:cs="Times New Roman"/>
                <w:b/>
                <w:bCs/>
                <w:color w:val="0F1115"/>
                <w:kern w:val="0"/>
                <w:sz w:val="32"/>
                <w:szCs w:val="32"/>
                <w:lang w:bidi="ar"/>
              </w:rPr>
              <w:t xml:space="preserve"> </w:t>
            </w:r>
            <w:r>
              <w:rPr>
                <w:rFonts w:hint="eastAsia" w:ascii="仿宋_GB2312" w:hAnsi="宋体" w:eastAsia="仿宋_GB2312" w:cs="仿宋_GB2312"/>
                <w:b/>
                <w:bCs/>
                <w:color w:val="0F1115"/>
                <w:kern w:val="0"/>
                <w:sz w:val="32"/>
                <w:szCs w:val="32"/>
                <w:lang w:bidi="ar"/>
              </w:rPr>
              <w:t>商务部分（</w:t>
            </w:r>
            <w:r>
              <w:rPr>
                <w:rFonts w:hint="eastAsia" w:ascii="Times New Roman" w:hAnsi="Times New Roman" w:eastAsia="仿宋_GB2312" w:cs="Times New Roman"/>
                <w:b/>
                <w:bCs/>
                <w:color w:val="0F1115"/>
                <w:kern w:val="0"/>
                <w:sz w:val="32"/>
                <w:szCs w:val="32"/>
                <w:lang w:bidi="ar"/>
              </w:rPr>
              <w:t>35</w:t>
            </w:r>
            <w:r>
              <w:rPr>
                <w:rFonts w:hint="eastAsia" w:ascii="仿宋_GB2312" w:hAnsi="宋体" w:eastAsia="仿宋_GB2312" w:cs="仿宋_GB2312"/>
                <w:b/>
                <w:bCs/>
                <w:color w:val="0F1115"/>
                <w:kern w:val="0"/>
                <w:sz w:val="32"/>
                <w:szCs w:val="32"/>
                <w:lang w:bidi="ar"/>
              </w:rPr>
              <w:t>分）</w:t>
            </w:r>
          </w:p>
        </w:tc>
      </w:tr>
      <w:tr>
        <w:tblPrEx>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b/>
                <w:bCs/>
                <w:color w:val="000000"/>
                <w:sz w:val="22"/>
                <w:szCs w:val="22"/>
              </w:rPr>
            </w:pPr>
            <w:r>
              <w:rPr>
                <w:rStyle w:val="25"/>
                <w:rFonts w:hint="default" w:hAnsi="Times New Roman"/>
                <w:lang w:bidi="ar"/>
              </w:rPr>
              <w:t>序号</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b/>
                <w:bCs/>
                <w:color w:val="000000"/>
                <w:sz w:val="22"/>
                <w:szCs w:val="22"/>
              </w:rPr>
            </w:pPr>
            <w:r>
              <w:rPr>
                <w:rStyle w:val="25"/>
                <w:rFonts w:hint="default" w:hAnsi="Times New Roman"/>
                <w:lang w:bidi="ar"/>
              </w:rPr>
              <w:t>评分项目</w:t>
            </w:r>
          </w:p>
        </w:tc>
        <w:tc>
          <w:tcPr>
            <w:tcW w:w="42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s="Times New Roman"/>
                <w:b/>
                <w:bCs/>
                <w:color w:val="000000"/>
                <w:sz w:val="22"/>
                <w:szCs w:val="22"/>
              </w:rPr>
            </w:pPr>
            <w:r>
              <w:rPr>
                <w:rStyle w:val="25"/>
                <w:rFonts w:hint="default" w:hAnsi="Times New Roman"/>
                <w:lang w:bidi="ar"/>
              </w:rPr>
              <w:t>评分标准</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b/>
                <w:bCs/>
                <w:color w:val="000000"/>
                <w:sz w:val="24"/>
                <w:szCs w:val="24"/>
              </w:rPr>
            </w:pPr>
            <w:r>
              <w:rPr>
                <w:rStyle w:val="25"/>
                <w:rFonts w:hint="default" w:ascii="Times New Roman" w:hAnsi="Times New Roman" w:eastAsia="宋体" w:cs="Times New Roman"/>
                <w:sz w:val="24"/>
                <w:szCs w:val="24"/>
                <w:lang w:bidi="ar"/>
              </w:rPr>
              <w:t>分值</w:t>
            </w:r>
          </w:p>
        </w:tc>
      </w:tr>
      <w:tr>
        <w:tblPrEx>
          <w:tblCellMar>
            <w:top w:w="0" w:type="dxa"/>
            <w:left w:w="108" w:type="dxa"/>
            <w:bottom w:w="0" w:type="dxa"/>
            <w:right w:w="108" w:type="dxa"/>
          </w:tblCellMar>
        </w:tblPrEx>
        <w:trPr>
          <w:trHeight w:val="141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lang w:bidi="ar"/>
              </w:rPr>
              <w:t>1</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27"/>
                <w:rFonts w:hint="default" w:ascii="Times New Roman" w:hAnsi="Times New Roman" w:eastAsia="宋体" w:cs="Times New Roman"/>
                <w:sz w:val="24"/>
                <w:szCs w:val="24"/>
                <w:lang w:bidi="ar"/>
              </w:rPr>
            </w:pPr>
            <w:r>
              <w:rPr>
                <w:rStyle w:val="27"/>
                <w:rFonts w:hint="default" w:ascii="Times New Roman" w:hAnsi="Times New Roman" w:eastAsia="宋体" w:cs="Times New Roman"/>
                <w:sz w:val="24"/>
                <w:szCs w:val="24"/>
                <w:lang w:bidi="ar"/>
              </w:rPr>
              <w:t>基本资格审查</w:t>
            </w:r>
          </w:p>
        </w:tc>
        <w:tc>
          <w:tcPr>
            <w:tcW w:w="429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ind w:firstLine="480" w:firstLineChars="200"/>
              <w:jc w:val="both"/>
              <w:textAlignment w:val="center"/>
              <w:rPr>
                <w:rStyle w:val="27"/>
                <w:rFonts w:hint="default" w:ascii="Times New Roman" w:hAnsi="Times New Roman" w:eastAsia="宋体" w:cs="Times New Roman"/>
                <w:sz w:val="24"/>
                <w:szCs w:val="24"/>
                <w:lang w:bidi="ar"/>
              </w:rPr>
            </w:pPr>
            <w:r>
              <w:rPr>
                <w:rStyle w:val="27"/>
                <w:rFonts w:hint="default" w:ascii="Times New Roman" w:hAnsi="Times New Roman" w:eastAsia="宋体" w:cs="Times New Roman"/>
                <w:sz w:val="24"/>
                <w:szCs w:val="24"/>
                <w:lang w:bidi="ar"/>
              </w:rPr>
              <w:t>（营业执照等证明文件复印件、单位授权书、财务状况报告(财务报告或资信证明)、信用记录查询结果）</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sz w:val="24"/>
                <w:szCs w:val="24"/>
              </w:rPr>
            </w:pPr>
            <w:r>
              <w:rPr>
                <w:rStyle w:val="27"/>
                <w:rFonts w:hint="default" w:ascii="Times New Roman" w:hAnsi="Times New Roman" w:eastAsia="宋体" w:cs="Times New Roman"/>
                <w:sz w:val="24"/>
                <w:szCs w:val="24"/>
                <w:lang w:bidi="ar"/>
              </w:rPr>
              <w:t>缺一项取消遴选资格</w:t>
            </w:r>
          </w:p>
        </w:tc>
      </w:tr>
      <w:tr>
        <w:tblPrEx>
          <w:tblCellMar>
            <w:top w:w="0" w:type="dxa"/>
            <w:left w:w="108" w:type="dxa"/>
            <w:bottom w:w="0" w:type="dxa"/>
            <w:right w:w="108" w:type="dxa"/>
          </w:tblCellMar>
        </w:tblPrEx>
        <w:trPr>
          <w:trHeight w:val="141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color w:val="000000"/>
                <w:kern w:val="0"/>
                <w:sz w:val="24"/>
                <w:szCs w:val="24"/>
                <w:lang w:bidi="ar"/>
              </w:rPr>
              <w:t>2</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27"/>
                <w:rFonts w:hint="default" w:ascii="Times New Roman" w:hAnsi="Times New Roman" w:eastAsia="宋体" w:cs="Times New Roman"/>
                <w:sz w:val="24"/>
                <w:szCs w:val="24"/>
                <w:lang w:bidi="ar"/>
              </w:rPr>
            </w:pPr>
            <w:r>
              <w:rPr>
                <w:rStyle w:val="27"/>
                <w:rFonts w:hint="default" w:ascii="Times New Roman" w:hAnsi="Times New Roman" w:eastAsia="宋体" w:cs="Times New Roman"/>
                <w:sz w:val="24"/>
                <w:szCs w:val="24"/>
                <w:lang w:bidi="ar"/>
              </w:rPr>
              <w:t>检测能力</w:t>
            </w:r>
          </w:p>
        </w:tc>
        <w:tc>
          <w:tcPr>
            <w:tcW w:w="429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ind w:firstLine="480" w:firstLineChars="200"/>
              <w:jc w:val="both"/>
              <w:textAlignment w:val="center"/>
              <w:rPr>
                <w:rStyle w:val="27"/>
                <w:rFonts w:hint="default" w:ascii="Times New Roman" w:hAnsi="Times New Roman" w:eastAsia="宋体" w:cs="Times New Roman"/>
                <w:b/>
                <w:bCs/>
                <w:sz w:val="24"/>
                <w:szCs w:val="24"/>
                <w:lang w:bidi="ar"/>
              </w:rPr>
            </w:pPr>
            <w:r>
              <w:rPr>
                <w:rStyle w:val="27"/>
                <w:rFonts w:hint="default" w:ascii="Times New Roman" w:hAnsi="Times New Roman" w:eastAsia="宋体" w:cs="Times New Roman"/>
                <w:b w:val="0"/>
                <w:bCs w:val="0"/>
                <w:sz w:val="24"/>
                <w:szCs w:val="24"/>
                <w:lang w:bidi="ar"/>
              </w:rPr>
              <w:t>具备有效的CMA资质。且能力范围明确包含本次招标技术和服务要求的全部废水、废气、噪声检测项目。缺一项扣3分。</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27"/>
                <w:rFonts w:hint="default" w:ascii="Times New Roman" w:hAnsi="Times New Roman" w:eastAsia="宋体" w:cs="Times New Roman"/>
                <w:sz w:val="24"/>
                <w:szCs w:val="24"/>
                <w:lang w:bidi="ar"/>
              </w:rPr>
            </w:pPr>
            <w:r>
              <w:rPr>
                <w:rStyle w:val="27"/>
                <w:rFonts w:hint="default" w:ascii="Times New Roman" w:hAnsi="Times New Roman" w:eastAsia="宋体" w:cs="Times New Roman"/>
                <w:sz w:val="24"/>
                <w:szCs w:val="24"/>
                <w:lang w:bidi="ar"/>
              </w:rPr>
              <w:t>10分</w:t>
            </w:r>
          </w:p>
        </w:tc>
      </w:tr>
      <w:tr>
        <w:tblPrEx>
          <w:tblCellMar>
            <w:top w:w="0" w:type="dxa"/>
            <w:left w:w="108" w:type="dxa"/>
            <w:bottom w:w="0" w:type="dxa"/>
            <w:right w:w="108" w:type="dxa"/>
          </w:tblCellMar>
        </w:tblPrEx>
        <w:trPr>
          <w:trHeight w:val="1338" w:hRule="atLeast"/>
        </w:trPr>
        <w:tc>
          <w:tcPr>
            <w:tcW w:w="108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lang w:bidi="ar"/>
              </w:rPr>
              <w:t>3</w:t>
            </w:r>
          </w:p>
        </w:tc>
        <w:tc>
          <w:tcPr>
            <w:tcW w:w="2460" w:type="dxa"/>
            <w:vMerge w:val="restart"/>
            <w:tcBorders>
              <w:top w:val="single" w:color="000000" w:sz="4" w:space="0"/>
              <w:left w:val="single" w:color="000000" w:sz="4" w:space="0"/>
              <w:right w:val="single" w:color="000000" w:sz="4" w:space="0"/>
            </w:tcBorders>
            <w:vAlign w:val="center"/>
          </w:tcPr>
          <w:p>
            <w:pPr>
              <w:widowControl/>
              <w:jc w:val="center"/>
              <w:textAlignment w:val="center"/>
              <w:rPr>
                <w:rStyle w:val="27"/>
                <w:rFonts w:hint="default" w:ascii="Times New Roman" w:hAnsi="Times New Roman" w:eastAsia="宋体" w:cs="Times New Roman"/>
                <w:sz w:val="24"/>
                <w:szCs w:val="24"/>
                <w:lang w:bidi="ar"/>
              </w:rPr>
            </w:pPr>
            <w:r>
              <w:rPr>
                <w:rStyle w:val="27"/>
                <w:rFonts w:hint="default" w:ascii="Times New Roman" w:hAnsi="Times New Roman" w:eastAsia="宋体" w:cs="Times New Roman"/>
                <w:sz w:val="24"/>
                <w:szCs w:val="24"/>
                <w:lang w:bidi="ar"/>
              </w:rPr>
              <w:t>机构规模与实力</w:t>
            </w:r>
          </w:p>
        </w:tc>
        <w:tc>
          <w:tcPr>
            <w:tcW w:w="429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ind w:firstLine="482" w:firstLineChars="200"/>
              <w:jc w:val="both"/>
              <w:textAlignment w:val="center"/>
              <w:rPr>
                <w:rStyle w:val="27"/>
                <w:rFonts w:hint="default" w:ascii="Times New Roman" w:hAnsi="Times New Roman" w:eastAsia="宋体" w:cs="Times New Roman"/>
                <w:sz w:val="24"/>
                <w:szCs w:val="24"/>
                <w:lang w:bidi="ar"/>
              </w:rPr>
            </w:pPr>
            <w:r>
              <w:rPr>
                <w:rStyle w:val="27"/>
                <w:rFonts w:hint="default" w:ascii="Times New Roman" w:hAnsi="Times New Roman" w:eastAsia="宋体" w:cs="Times New Roman"/>
                <w:b/>
                <w:bCs/>
                <w:sz w:val="24"/>
                <w:szCs w:val="24"/>
                <w:lang w:bidi="ar"/>
              </w:rPr>
              <w:t>1. 实验室场所：</w:t>
            </w:r>
            <w:r>
              <w:rPr>
                <w:rStyle w:val="27"/>
                <w:rFonts w:hint="default" w:ascii="Times New Roman" w:hAnsi="Times New Roman" w:eastAsia="宋体" w:cs="Times New Roman"/>
                <w:sz w:val="24"/>
                <w:szCs w:val="24"/>
                <w:lang w:bidi="ar"/>
              </w:rPr>
              <w:t>实验室面积≥3000平方米的，得3分；1000平方米≤实验室面积＜3000平方米的，得2分，实验室面积＜1000平方米的，得1分。提供自有固定实验室产权证明或长期租赁合同。</w:t>
            </w:r>
          </w:p>
        </w:tc>
        <w:tc>
          <w:tcPr>
            <w:tcW w:w="124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lang w:bidi="ar"/>
              </w:rPr>
              <w:t>15</w:t>
            </w:r>
            <w:r>
              <w:rPr>
                <w:rStyle w:val="27"/>
                <w:rFonts w:hint="default" w:ascii="Times New Roman" w:hAnsi="Times New Roman" w:eastAsia="宋体" w:cs="Times New Roman"/>
                <w:sz w:val="24"/>
                <w:szCs w:val="24"/>
                <w:lang w:bidi="ar"/>
              </w:rPr>
              <w:t>分</w:t>
            </w:r>
          </w:p>
        </w:tc>
      </w:tr>
      <w:tr>
        <w:tblPrEx>
          <w:tblCellMar>
            <w:top w:w="0" w:type="dxa"/>
            <w:left w:w="108" w:type="dxa"/>
            <w:bottom w:w="0" w:type="dxa"/>
            <w:right w:w="108" w:type="dxa"/>
          </w:tblCellMar>
        </w:tblPrEx>
        <w:trPr>
          <w:trHeight w:val="1363" w:hRule="atLeast"/>
        </w:trPr>
        <w:tc>
          <w:tcPr>
            <w:tcW w:w="1080" w:type="dxa"/>
            <w:vMerge w:val="continue"/>
            <w:tcBorders>
              <w:left w:val="single" w:color="000000" w:sz="4" w:space="0"/>
              <w:right w:val="single" w:color="000000" w:sz="4" w:space="0"/>
            </w:tcBorders>
            <w:vAlign w:val="center"/>
          </w:tcPr>
          <w:p>
            <w:pPr>
              <w:jc w:val="center"/>
              <w:rPr>
                <w:rFonts w:hint="default" w:ascii="Times New Roman" w:hAnsi="Times New Roman" w:eastAsia="宋体" w:cs="Times New Roman"/>
                <w:color w:val="000000"/>
                <w:sz w:val="24"/>
                <w:szCs w:val="24"/>
              </w:rPr>
            </w:pPr>
          </w:p>
        </w:tc>
        <w:tc>
          <w:tcPr>
            <w:tcW w:w="2460" w:type="dxa"/>
            <w:vMerge w:val="continue"/>
            <w:tcBorders>
              <w:left w:val="single" w:color="000000" w:sz="4" w:space="0"/>
              <w:right w:val="single" w:color="000000" w:sz="4" w:space="0"/>
            </w:tcBorders>
            <w:vAlign w:val="center"/>
          </w:tcPr>
          <w:p>
            <w:pPr>
              <w:widowControl/>
              <w:jc w:val="center"/>
              <w:textAlignment w:val="center"/>
              <w:rPr>
                <w:rStyle w:val="27"/>
                <w:rFonts w:hint="default" w:ascii="Times New Roman" w:hAnsi="Times New Roman" w:eastAsia="宋体" w:cs="Times New Roman"/>
                <w:sz w:val="24"/>
                <w:szCs w:val="24"/>
                <w:lang w:bidi="ar"/>
              </w:rPr>
            </w:pPr>
          </w:p>
        </w:tc>
        <w:tc>
          <w:tcPr>
            <w:tcW w:w="429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ind w:firstLine="482" w:firstLineChars="200"/>
              <w:jc w:val="both"/>
              <w:textAlignment w:val="center"/>
              <w:rPr>
                <w:rStyle w:val="27"/>
                <w:rFonts w:hint="default" w:ascii="Times New Roman" w:hAnsi="Times New Roman" w:eastAsia="宋体" w:cs="Times New Roman"/>
                <w:sz w:val="24"/>
                <w:szCs w:val="24"/>
                <w:lang w:bidi="ar"/>
              </w:rPr>
            </w:pPr>
            <w:r>
              <w:rPr>
                <w:rStyle w:val="27"/>
                <w:rFonts w:hint="default" w:ascii="Times New Roman" w:hAnsi="Times New Roman" w:eastAsia="宋体" w:cs="Times New Roman"/>
                <w:b/>
                <w:bCs/>
                <w:sz w:val="24"/>
                <w:szCs w:val="24"/>
                <w:lang w:bidi="ar"/>
              </w:rPr>
              <w:t>2. 本地化服务：</w:t>
            </w:r>
            <w:r>
              <w:rPr>
                <w:rStyle w:val="27"/>
                <w:rFonts w:hint="default" w:ascii="Times New Roman" w:hAnsi="Times New Roman" w:eastAsia="宋体" w:cs="Times New Roman"/>
                <w:sz w:val="24"/>
                <w:szCs w:val="24"/>
                <w:lang w:bidi="ar"/>
              </w:rPr>
              <w:t>在福州市或马尾区设有固定分支机构或实验室，能提供快速响应服务的，得2分；仅在福建省内其他地市有机构的，得1分；其他不得分。</w:t>
            </w:r>
          </w:p>
        </w:tc>
        <w:tc>
          <w:tcPr>
            <w:tcW w:w="1245" w:type="dxa"/>
            <w:vMerge w:val="continue"/>
            <w:tcBorders>
              <w:left w:val="single" w:color="000000" w:sz="4" w:space="0"/>
              <w:right w:val="single" w:color="000000" w:sz="4" w:space="0"/>
            </w:tcBorders>
            <w:vAlign w:val="center"/>
          </w:tcPr>
          <w:p>
            <w:pPr>
              <w:jc w:val="center"/>
              <w:rPr>
                <w:rFonts w:ascii="Times New Roman" w:hAnsi="Times New Roman" w:eastAsia="宋体" w:cs="Times New Roman"/>
                <w:color w:val="000000"/>
                <w:szCs w:val="21"/>
              </w:rPr>
            </w:pPr>
          </w:p>
        </w:tc>
      </w:tr>
      <w:tr>
        <w:tblPrEx>
          <w:tblCellMar>
            <w:top w:w="0" w:type="dxa"/>
            <w:left w:w="108" w:type="dxa"/>
            <w:bottom w:w="0" w:type="dxa"/>
            <w:right w:w="108" w:type="dxa"/>
          </w:tblCellMar>
        </w:tblPrEx>
        <w:trPr>
          <w:trHeight w:val="1090" w:hRule="atLeast"/>
        </w:trPr>
        <w:tc>
          <w:tcPr>
            <w:tcW w:w="1080" w:type="dxa"/>
            <w:vMerge w:val="continue"/>
            <w:tcBorders>
              <w:left w:val="single" w:color="000000" w:sz="4" w:space="0"/>
              <w:right w:val="single" w:color="000000" w:sz="4" w:space="0"/>
            </w:tcBorders>
            <w:vAlign w:val="center"/>
          </w:tcPr>
          <w:p>
            <w:pPr>
              <w:jc w:val="center"/>
              <w:rPr>
                <w:rFonts w:hint="default" w:ascii="Times New Roman" w:hAnsi="Times New Roman" w:eastAsia="宋体" w:cs="Times New Roman"/>
                <w:color w:val="000000"/>
                <w:sz w:val="24"/>
                <w:szCs w:val="24"/>
              </w:rPr>
            </w:pPr>
          </w:p>
        </w:tc>
        <w:tc>
          <w:tcPr>
            <w:tcW w:w="2460" w:type="dxa"/>
            <w:vMerge w:val="continue"/>
            <w:tcBorders>
              <w:left w:val="single" w:color="000000" w:sz="4" w:space="0"/>
              <w:right w:val="single" w:color="000000" w:sz="4" w:space="0"/>
            </w:tcBorders>
            <w:vAlign w:val="center"/>
          </w:tcPr>
          <w:p>
            <w:pPr>
              <w:widowControl/>
              <w:jc w:val="center"/>
              <w:textAlignment w:val="center"/>
              <w:rPr>
                <w:rStyle w:val="27"/>
                <w:rFonts w:hint="default" w:ascii="Times New Roman" w:hAnsi="Times New Roman" w:eastAsia="宋体" w:cs="Times New Roman"/>
                <w:sz w:val="24"/>
                <w:szCs w:val="24"/>
                <w:lang w:bidi="ar"/>
              </w:rPr>
            </w:pPr>
          </w:p>
        </w:tc>
        <w:tc>
          <w:tcPr>
            <w:tcW w:w="429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ind w:firstLine="482" w:firstLineChars="200"/>
              <w:jc w:val="both"/>
              <w:textAlignment w:val="center"/>
              <w:rPr>
                <w:rStyle w:val="27"/>
                <w:rFonts w:hint="default" w:ascii="Times New Roman" w:hAnsi="Times New Roman" w:eastAsia="宋体" w:cs="Times New Roman"/>
                <w:sz w:val="24"/>
                <w:szCs w:val="24"/>
                <w:lang w:bidi="ar"/>
              </w:rPr>
            </w:pPr>
            <w:r>
              <w:rPr>
                <w:rStyle w:val="27"/>
                <w:rFonts w:hint="default" w:ascii="Times New Roman" w:hAnsi="Times New Roman" w:eastAsia="宋体" w:cs="Times New Roman"/>
                <w:b/>
                <w:bCs/>
                <w:sz w:val="24"/>
                <w:szCs w:val="24"/>
                <w:lang w:bidi="ar"/>
              </w:rPr>
              <w:t>3.综合实力：</w:t>
            </w:r>
            <w:r>
              <w:rPr>
                <w:rStyle w:val="27"/>
                <w:rFonts w:hint="default" w:ascii="Times New Roman" w:hAnsi="Times New Roman" w:eastAsia="宋体" w:cs="Times New Roman"/>
                <w:sz w:val="24"/>
                <w:szCs w:val="24"/>
                <w:lang w:bidi="ar"/>
              </w:rPr>
              <w:t>提供CNAS（实验室认可资质的，得2分。</w:t>
            </w:r>
          </w:p>
        </w:tc>
        <w:tc>
          <w:tcPr>
            <w:tcW w:w="1245" w:type="dxa"/>
            <w:vMerge w:val="continue"/>
            <w:tcBorders>
              <w:left w:val="single" w:color="000000" w:sz="4" w:space="0"/>
              <w:right w:val="single" w:color="000000" w:sz="4" w:space="0"/>
            </w:tcBorders>
            <w:vAlign w:val="center"/>
          </w:tcPr>
          <w:p>
            <w:pPr>
              <w:jc w:val="center"/>
              <w:rPr>
                <w:rFonts w:ascii="Times New Roman" w:hAnsi="Times New Roman" w:eastAsia="宋体" w:cs="Times New Roman"/>
                <w:color w:val="000000"/>
                <w:szCs w:val="21"/>
              </w:rPr>
            </w:pPr>
          </w:p>
        </w:tc>
      </w:tr>
      <w:tr>
        <w:tblPrEx>
          <w:tblCellMar>
            <w:top w:w="0" w:type="dxa"/>
            <w:left w:w="108" w:type="dxa"/>
            <w:bottom w:w="0" w:type="dxa"/>
            <w:right w:w="108" w:type="dxa"/>
          </w:tblCellMar>
        </w:tblPrEx>
        <w:trPr>
          <w:trHeight w:val="1875" w:hRule="atLeast"/>
        </w:trPr>
        <w:tc>
          <w:tcPr>
            <w:tcW w:w="1080" w:type="dxa"/>
            <w:vMerge w:val="continue"/>
            <w:tcBorders>
              <w:left w:val="single" w:color="000000" w:sz="4" w:space="0"/>
              <w:right w:val="single" w:color="000000" w:sz="4" w:space="0"/>
            </w:tcBorders>
            <w:vAlign w:val="center"/>
          </w:tcPr>
          <w:p>
            <w:pPr>
              <w:jc w:val="center"/>
              <w:rPr>
                <w:rFonts w:hint="default" w:ascii="Times New Roman" w:hAnsi="Times New Roman" w:eastAsia="宋体" w:cs="Times New Roman"/>
                <w:color w:val="000000"/>
                <w:sz w:val="24"/>
                <w:szCs w:val="24"/>
              </w:rPr>
            </w:pPr>
          </w:p>
        </w:tc>
        <w:tc>
          <w:tcPr>
            <w:tcW w:w="2460" w:type="dxa"/>
            <w:vMerge w:val="continue"/>
            <w:tcBorders>
              <w:left w:val="single" w:color="000000" w:sz="4" w:space="0"/>
              <w:right w:val="single" w:color="000000" w:sz="4" w:space="0"/>
            </w:tcBorders>
            <w:vAlign w:val="center"/>
          </w:tcPr>
          <w:p>
            <w:pPr>
              <w:widowControl/>
              <w:jc w:val="center"/>
              <w:textAlignment w:val="center"/>
              <w:rPr>
                <w:rStyle w:val="27"/>
                <w:rFonts w:hint="default" w:ascii="Times New Roman" w:hAnsi="Times New Roman" w:eastAsia="宋体" w:cs="Times New Roman"/>
                <w:sz w:val="24"/>
                <w:szCs w:val="24"/>
                <w:lang w:bidi="ar"/>
              </w:rPr>
            </w:pPr>
          </w:p>
        </w:tc>
        <w:tc>
          <w:tcPr>
            <w:tcW w:w="429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ind w:firstLine="482" w:firstLineChars="200"/>
              <w:jc w:val="both"/>
              <w:textAlignment w:val="center"/>
              <w:rPr>
                <w:rStyle w:val="27"/>
                <w:rFonts w:hint="default" w:ascii="Times New Roman" w:hAnsi="Times New Roman" w:eastAsia="宋体" w:cs="Times New Roman"/>
                <w:sz w:val="24"/>
                <w:szCs w:val="24"/>
                <w:lang w:bidi="ar"/>
              </w:rPr>
            </w:pPr>
            <w:r>
              <w:rPr>
                <w:rStyle w:val="27"/>
                <w:rFonts w:hint="default" w:ascii="Times New Roman" w:hAnsi="Times New Roman" w:eastAsia="宋体" w:cs="Times New Roman"/>
                <w:b/>
                <w:bCs/>
                <w:sz w:val="24"/>
                <w:szCs w:val="24"/>
                <w:lang w:bidi="ar"/>
              </w:rPr>
              <w:t>4.</w:t>
            </w:r>
            <w:r>
              <w:rPr>
                <w:rStyle w:val="27"/>
                <w:rFonts w:hint="default" w:ascii="Times New Roman" w:hAnsi="Times New Roman" w:cs="Times New Roman"/>
                <w:b/>
                <w:bCs/>
                <w:sz w:val="24"/>
                <w:szCs w:val="24"/>
                <w:lang w:bidi="ar"/>
              </w:rPr>
              <w:t>管理体系</w:t>
            </w:r>
            <w:r>
              <w:rPr>
                <w:rStyle w:val="27"/>
                <w:rFonts w:hint="default" w:ascii="Times New Roman" w:hAnsi="Times New Roman" w:eastAsia="宋体" w:cs="Times New Roman"/>
                <w:b/>
                <w:bCs/>
                <w:sz w:val="24"/>
                <w:szCs w:val="24"/>
                <w:lang w:bidi="ar"/>
              </w:rPr>
              <w:t>认证证书：</w:t>
            </w:r>
            <w:r>
              <w:rPr>
                <w:rStyle w:val="27"/>
                <w:rFonts w:hint="default" w:ascii="Times New Roman" w:hAnsi="Times New Roman" w:eastAsia="宋体" w:cs="Times New Roman"/>
                <w:sz w:val="24"/>
                <w:szCs w:val="24"/>
                <w:lang w:bidi="ar"/>
              </w:rPr>
              <w:t>提供有效的ISO9001质量管理体系认证、ISO14001环境管理体系认证、OHSAS18001（或ISO45001） 职业健康安全管理体系认证证书，每提供一份得1分，满分3分。</w:t>
            </w:r>
          </w:p>
        </w:tc>
        <w:tc>
          <w:tcPr>
            <w:tcW w:w="1245" w:type="dxa"/>
            <w:vMerge w:val="continue"/>
            <w:tcBorders>
              <w:left w:val="single" w:color="000000" w:sz="4" w:space="0"/>
              <w:right w:val="single" w:color="000000" w:sz="4" w:space="0"/>
            </w:tcBorders>
            <w:vAlign w:val="center"/>
          </w:tcPr>
          <w:p>
            <w:pPr>
              <w:jc w:val="center"/>
              <w:rPr>
                <w:rFonts w:ascii="Times New Roman" w:hAnsi="Times New Roman" w:eastAsia="宋体" w:cs="Times New Roman"/>
                <w:color w:val="000000"/>
                <w:szCs w:val="21"/>
              </w:rPr>
            </w:pPr>
          </w:p>
        </w:tc>
      </w:tr>
      <w:tr>
        <w:tblPrEx>
          <w:tblCellMar>
            <w:top w:w="0" w:type="dxa"/>
            <w:left w:w="108" w:type="dxa"/>
            <w:bottom w:w="0" w:type="dxa"/>
            <w:right w:w="108" w:type="dxa"/>
          </w:tblCellMar>
        </w:tblPrEx>
        <w:trPr>
          <w:trHeight w:val="1875" w:hRule="atLeast"/>
        </w:trPr>
        <w:tc>
          <w:tcPr>
            <w:tcW w:w="1080" w:type="dxa"/>
            <w:vMerge w:val="continue"/>
            <w:tcBorders>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color w:val="000000"/>
                <w:sz w:val="24"/>
                <w:szCs w:val="24"/>
              </w:rPr>
            </w:pPr>
          </w:p>
        </w:tc>
        <w:tc>
          <w:tcPr>
            <w:tcW w:w="2460"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Style w:val="27"/>
                <w:rFonts w:hint="default" w:ascii="Times New Roman" w:hAnsi="Times New Roman" w:eastAsia="宋体" w:cs="Times New Roman"/>
                <w:sz w:val="24"/>
                <w:szCs w:val="24"/>
                <w:lang w:bidi="ar"/>
              </w:rPr>
            </w:pPr>
          </w:p>
        </w:tc>
        <w:tc>
          <w:tcPr>
            <w:tcW w:w="4290" w:type="dxa"/>
            <w:tcBorders>
              <w:top w:val="single" w:color="000000" w:sz="4" w:space="0"/>
              <w:left w:val="single" w:color="000000" w:sz="4" w:space="0"/>
              <w:bottom w:val="single" w:color="000000" w:sz="4" w:space="0"/>
              <w:right w:val="single" w:color="000000" w:sz="4" w:space="0"/>
            </w:tcBorders>
            <w:vAlign w:val="center"/>
          </w:tcPr>
          <w:p>
            <w:pPr>
              <w:spacing w:line="440" w:lineRule="exact"/>
              <w:ind w:firstLine="482" w:firstLineChars="200"/>
              <w:jc w:val="both"/>
              <w:rPr>
                <w:rStyle w:val="27"/>
                <w:rFonts w:hint="default" w:ascii="Times New Roman" w:hAnsi="Times New Roman" w:eastAsia="宋体" w:cs="Times New Roman"/>
                <w:sz w:val="24"/>
                <w:szCs w:val="24"/>
                <w:lang w:bidi="ar"/>
              </w:rPr>
            </w:pPr>
            <w:r>
              <w:rPr>
                <w:rStyle w:val="27"/>
                <w:rFonts w:hint="default" w:ascii="Times New Roman" w:hAnsi="Times New Roman" w:eastAsia="宋体" w:cs="Times New Roman"/>
                <w:b/>
                <w:bCs/>
                <w:sz w:val="24"/>
                <w:szCs w:val="24"/>
                <w:lang w:bidi="ar"/>
              </w:rPr>
              <w:t>5.能力验证：</w:t>
            </w:r>
            <w:r>
              <w:rPr>
                <w:rStyle w:val="27"/>
                <w:rFonts w:hint="default" w:ascii="Times New Roman" w:hAnsi="Times New Roman" w:eastAsia="宋体" w:cs="Times New Roman"/>
                <w:sz w:val="24"/>
                <w:szCs w:val="24"/>
                <w:lang w:bidi="ar"/>
              </w:rPr>
              <w:t>投标人在响应文件递交截止时间前三年内参加并通过省级及以上生态环境部门或环境标准样品研究所组织的比对考核或能力验证，且结果为“满意”的，每提供一份得1分，满分5分。</w:t>
            </w:r>
          </w:p>
        </w:tc>
        <w:tc>
          <w:tcPr>
            <w:tcW w:w="1245" w:type="dxa"/>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Cs w:val="21"/>
              </w:rPr>
            </w:pPr>
          </w:p>
        </w:tc>
      </w:tr>
      <w:tr>
        <w:tblPrEx>
          <w:tblCellMar>
            <w:top w:w="0" w:type="dxa"/>
            <w:left w:w="108" w:type="dxa"/>
            <w:bottom w:w="0" w:type="dxa"/>
            <w:right w:w="108" w:type="dxa"/>
          </w:tblCellMar>
        </w:tblPrEx>
        <w:trPr>
          <w:trHeight w:val="1798"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lang w:bidi="ar"/>
              </w:rPr>
              <w:t>4</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27"/>
                <w:rFonts w:hint="default" w:ascii="Times New Roman" w:hAnsi="Times New Roman" w:eastAsia="宋体" w:cs="Times New Roman"/>
                <w:sz w:val="24"/>
                <w:szCs w:val="24"/>
                <w:lang w:bidi="ar"/>
              </w:rPr>
            </w:pPr>
            <w:r>
              <w:rPr>
                <w:rStyle w:val="27"/>
                <w:rFonts w:hint="default" w:ascii="Times New Roman" w:hAnsi="Times New Roman" w:eastAsia="宋体" w:cs="Times New Roman"/>
                <w:sz w:val="24"/>
                <w:szCs w:val="24"/>
                <w:lang w:bidi="ar"/>
              </w:rPr>
              <w:t>类似项目业绩</w:t>
            </w:r>
          </w:p>
        </w:tc>
        <w:tc>
          <w:tcPr>
            <w:tcW w:w="429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ind w:firstLine="480" w:firstLineChars="200"/>
              <w:jc w:val="both"/>
              <w:textAlignment w:val="center"/>
              <w:rPr>
                <w:rStyle w:val="27"/>
                <w:rFonts w:hint="default" w:ascii="Times New Roman" w:hAnsi="Times New Roman" w:eastAsia="宋体" w:cs="Times New Roman"/>
                <w:sz w:val="24"/>
                <w:szCs w:val="24"/>
                <w:lang w:bidi="ar"/>
              </w:rPr>
            </w:pPr>
            <w:r>
              <w:rPr>
                <w:rStyle w:val="27"/>
                <w:rFonts w:hint="default" w:ascii="Times New Roman" w:hAnsi="Times New Roman" w:eastAsia="宋体" w:cs="Times New Roman"/>
                <w:sz w:val="24"/>
                <w:szCs w:val="24"/>
                <w:lang w:bidi="ar"/>
              </w:rPr>
              <w:t>提供2023年1月1日以来完成的同类（工业企业厂区废水、废气、噪声定期监测）服务合同复印件。每提供一份完整的有效合同得2分，本项最高得10分。</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Cs w:val="21"/>
              </w:rPr>
            </w:pPr>
            <w:r>
              <w:rPr>
                <w:rFonts w:hint="default" w:ascii="Times New Roman" w:hAnsi="Times New Roman" w:eastAsia="宋体" w:cs="Times New Roman"/>
                <w:color w:val="000000"/>
                <w:kern w:val="0"/>
                <w:sz w:val="24"/>
                <w:szCs w:val="24"/>
                <w:lang w:bidi="ar"/>
              </w:rPr>
              <w:t>10</w:t>
            </w:r>
            <w:r>
              <w:rPr>
                <w:rFonts w:hint="default" w:ascii="Times New Roman" w:hAnsi="Times New Roman" w:eastAsia="宋体" w:cs="Times New Roman"/>
                <w:kern w:val="0"/>
                <w:sz w:val="24"/>
                <w:szCs w:val="24"/>
                <w:lang w:bidi="ar"/>
              </w:rPr>
              <w:t>分</w:t>
            </w:r>
          </w:p>
        </w:tc>
      </w:tr>
      <w:tr>
        <w:tblPrEx>
          <w:tblCellMar>
            <w:top w:w="0" w:type="dxa"/>
            <w:left w:w="108" w:type="dxa"/>
            <w:bottom w:w="0" w:type="dxa"/>
            <w:right w:w="108" w:type="dxa"/>
          </w:tblCellMar>
        </w:tblPrEx>
        <w:trPr>
          <w:trHeight w:val="405" w:hRule="atLeast"/>
        </w:trPr>
        <w:tc>
          <w:tcPr>
            <w:tcW w:w="9075"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bCs/>
                <w:color w:val="0F1115"/>
                <w:sz w:val="32"/>
                <w:szCs w:val="32"/>
              </w:rPr>
            </w:pPr>
            <w:r>
              <w:rPr>
                <w:rFonts w:hint="eastAsia" w:ascii="仿宋_GB2312" w:hAnsi="宋体" w:eastAsia="仿宋_GB2312" w:cs="仿宋_GB2312"/>
                <w:b/>
                <w:bCs/>
                <w:color w:val="0F1115"/>
                <w:kern w:val="0"/>
                <w:sz w:val="32"/>
                <w:szCs w:val="32"/>
                <w:lang w:bidi="ar"/>
              </w:rPr>
              <w:t>二、</w:t>
            </w:r>
            <w:r>
              <w:rPr>
                <w:rStyle w:val="28"/>
                <w:rFonts w:eastAsia="仿宋_GB2312"/>
                <w:lang w:bidi="ar"/>
              </w:rPr>
              <w:t xml:space="preserve"> </w:t>
            </w:r>
            <w:r>
              <w:rPr>
                <w:rStyle w:val="29"/>
                <w:rFonts w:hint="default" w:hAnsi="宋体"/>
                <w:lang w:bidi="ar"/>
              </w:rPr>
              <w:t>技术部分（</w:t>
            </w:r>
            <w:r>
              <w:rPr>
                <w:rStyle w:val="28"/>
                <w:rFonts w:hint="eastAsia" w:eastAsia="仿宋_GB2312"/>
                <w:lang w:bidi="ar"/>
              </w:rPr>
              <w:t>50</w:t>
            </w:r>
            <w:r>
              <w:rPr>
                <w:rStyle w:val="29"/>
                <w:rFonts w:hint="default" w:hAnsi="宋体"/>
                <w:lang w:bidi="ar"/>
              </w:rPr>
              <w:t>分）</w:t>
            </w:r>
          </w:p>
        </w:tc>
      </w:tr>
      <w:tr>
        <w:tblPrEx>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b/>
                <w:bCs/>
                <w:color w:val="000000"/>
                <w:sz w:val="22"/>
                <w:szCs w:val="22"/>
              </w:rPr>
            </w:pPr>
            <w:r>
              <w:rPr>
                <w:rStyle w:val="25"/>
                <w:rFonts w:hint="default" w:hAnsi="Times New Roman"/>
                <w:lang w:bidi="ar"/>
              </w:rPr>
              <w:t>序号</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b/>
                <w:bCs/>
                <w:color w:val="000000"/>
                <w:sz w:val="22"/>
                <w:szCs w:val="22"/>
              </w:rPr>
            </w:pPr>
            <w:r>
              <w:rPr>
                <w:rStyle w:val="25"/>
                <w:rFonts w:hint="default" w:hAnsi="Times New Roman"/>
                <w:lang w:bidi="ar"/>
              </w:rPr>
              <w:t>评分项目</w:t>
            </w:r>
          </w:p>
        </w:tc>
        <w:tc>
          <w:tcPr>
            <w:tcW w:w="42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b/>
                <w:bCs/>
                <w:color w:val="000000"/>
                <w:sz w:val="22"/>
                <w:szCs w:val="22"/>
              </w:rPr>
            </w:pPr>
            <w:r>
              <w:rPr>
                <w:rStyle w:val="25"/>
                <w:rFonts w:hint="default" w:hAnsi="Times New Roman"/>
                <w:lang w:bidi="ar"/>
              </w:rPr>
              <w:t>评分标准</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b/>
                <w:bCs/>
                <w:color w:val="000000"/>
                <w:sz w:val="22"/>
                <w:szCs w:val="22"/>
              </w:rPr>
            </w:pPr>
            <w:r>
              <w:rPr>
                <w:rFonts w:hint="default" w:ascii="Times New Roman" w:hAnsi="Times New Roman" w:eastAsia="宋体" w:cs="Times New Roman"/>
                <w:kern w:val="0"/>
                <w:sz w:val="24"/>
                <w:szCs w:val="24"/>
                <w:lang w:bidi="ar"/>
              </w:rPr>
              <w:t>分值</w:t>
            </w:r>
          </w:p>
        </w:tc>
      </w:tr>
      <w:tr>
        <w:tblPrEx>
          <w:tblCellMar>
            <w:top w:w="0" w:type="dxa"/>
            <w:left w:w="108" w:type="dxa"/>
            <w:bottom w:w="0" w:type="dxa"/>
            <w:right w:w="108" w:type="dxa"/>
          </w:tblCellMar>
        </w:tblPrEx>
        <w:trPr>
          <w:trHeight w:val="1440" w:hRule="atLeast"/>
        </w:trPr>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lang w:bidi="ar"/>
              </w:rPr>
              <w:t>1</w:t>
            </w:r>
          </w:p>
        </w:tc>
        <w:tc>
          <w:tcPr>
            <w:tcW w:w="24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sz w:val="24"/>
                <w:szCs w:val="24"/>
              </w:rPr>
            </w:pPr>
            <w:r>
              <w:rPr>
                <w:rStyle w:val="26"/>
                <w:rFonts w:hint="default" w:ascii="Times New Roman" w:hAnsi="Times New Roman" w:eastAsia="宋体" w:cs="Times New Roman"/>
                <w:sz w:val="24"/>
                <w:szCs w:val="24"/>
                <w:lang w:bidi="ar"/>
              </w:rPr>
              <w:t>检测方案的科学性与完整性</w:t>
            </w:r>
          </w:p>
        </w:tc>
        <w:tc>
          <w:tcPr>
            <w:tcW w:w="4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1"/>
                <w:numId w:val="0"/>
              </w:numPr>
              <w:suppressLineNumbers w:val="0"/>
              <w:spacing w:before="0" w:beforeAutospacing="0" w:after="0" w:afterAutospacing="0" w:line="440" w:lineRule="exact"/>
              <w:ind w:left="0" w:leftChars="0" w:firstLine="0" w:firstLineChars="0"/>
              <w:rPr>
                <w:rFonts w:hint="default" w:ascii="Times New Roman" w:hAnsi="Times New Roman" w:eastAsia="宋体" w:cs="Times New Roman"/>
                <w:sz w:val="24"/>
              </w:rPr>
            </w:pPr>
            <w:r>
              <w:rPr>
                <w:rFonts w:hint="default" w:ascii="Times New Roman" w:hAnsi="Times New Roman" w:eastAsia="宋体" w:cs="Times New Roman"/>
                <w:b/>
                <w:bCs/>
                <w:color w:val="000000"/>
                <w:kern w:val="0"/>
                <w:sz w:val="24"/>
                <w:szCs w:val="24"/>
                <w:lang w:bidi="ar"/>
              </w:rPr>
              <w:t xml:space="preserve">1. </w:t>
            </w:r>
            <w:r>
              <w:rPr>
                <w:rStyle w:val="27"/>
                <w:rFonts w:hint="default" w:ascii="Times New Roman" w:hAnsi="Times New Roman" w:eastAsia="宋体" w:cs="Times New Roman"/>
                <w:b/>
                <w:bCs/>
                <w:sz w:val="24"/>
                <w:szCs w:val="24"/>
                <w:lang w:bidi="ar"/>
              </w:rPr>
              <w:t>方案针对性：</w:t>
            </w:r>
            <w:r>
              <w:rPr>
                <w:rFonts w:hint="default" w:ascii="Times New Roman" w:hAnsi="Times New Roman" w:eastAsia="宋体" w:cs="Times New Roman"/>
                <w:b/>
                <w:bCs/>
                <w:color w:val="000000"/>
                <w:kern w:val="0"/>
                <w:sz w:val="24"/>
                <w:szCs w:val="24"/>
                <w:lang w:bidi="ar"/>
              </w:rPr>
              <w:t xml:space="preserve"> </w:t>
            </w:r>
            <w:r>
              <w:rPr>
                <w:rStyle w:val="27"/>
                <w:rFonts w:hint="default" w:ascii="Times New Roman" w:hAnsi="Times New Roman" w:eastAsia="宋体" w:cs="Times New Roman"/>
                <w:sz w:val="24"/>
                <w:szCs w:val="24"/>
                <w:lang w:bidi="ar"/>
              </w:rPr>
              <w:t>根据我院基地特点制定的检测方案，流程清晰、点位布设科学合理、采样频次与周期安排符合规范及我方要求。</w:t>
            </w:r>
          </w:p>
          <w:p>
            <w:pPr>
              <w:pStyle w:val="8"/>
              <w:spacing w:before="0" w:afterAutospacing="0" w:line="440" w:lineRule="exact"/>
              <w:ind w:left="0" w:firstLine="482" w:firstLineChars="200"/>
              <w:rPr>
                <w:rFonts w:hint="default" w:ascii="Times New Roman" w:hAnsi="Times New Roman" w:eastAsia="宋体" w:cs="Times New Roman"/>
                <w:sz w:val="24"/>
              </w:rPr>
            </w:pPr>
            <w:r>
              <w:rPr>
                <w:rStyle w:val="13"/>
                <w:rFonts w:hint="default" w:ascii="Times New Roman" w:hAnsi="Times New Roman" w:eastAsia="宋体" w:cs="Times New Roman"/>
                <w:b/>
                <w:bCs/>
                <w:i w:val="0"/>
                <w:iCs w:val="0"/>
                <w:caps w:val="0"/>
                <w:color w:val="0F1115"/>
                <w:spacing w:val="0"/>
                <w:sz w:val="24"/>
                <w:szCs w:val="24"/>
                <w:shd w:val="clear" w:fill="FFFFFF"/>
              </w:rPr>
              <w:t>优秀（10分）</w:t>
            </w:r>
            <w:r>
              <w:rPr>
                <w:rFonts w:hint="default" w:ascii="Times New Roman" w:hAnsi="Times New Roman" w:eastAsia="宋体" w:cs="Times New Roman"/>
                <w:i w:val="0"/>
                <w:iCs w:val="0"/>
                <w:caps w:val="0"/>
                <w:color w:val="0F1115"/>
                <w:spacing w:val="0"/>
                <w:sz w:val="24"/>
                <w:szCs w:val="24"/>
                <w:shd w:val="clear" w:fill="FFFFFF"/>
              </w:rPr>
              <w:br w:type="textWrapping"/>
            </w:r>
            <w:r>
              <w:rPr>
                <w:rFonts w:hint="default" w:ascii="Times New Roman" w:hAnsi="Times New Roman" w:eastAsia="宋体" w:cs="Times New Roman"/>
                <w:i w:val="0"/>
                <w:iCs w:val="0"/>
                <w:caps w:val="0"/>
                <w:color w:val="0F1115"/>
                <w:spacing w:val="0"/>
                <w:sz w:val="24"/>
                <w:szCs w:val="24"/>
                <w:shd w:val="clear" w:fill="FFFFFF"/>
              </w:rPr>
              <w:t>方案紧密围绕我院基地的实际特点（如地形地貌、功能区分布、潜在污染源类型等）进行量身定制，针对性极强。检测流程设计清晰、逻辑严密，各环节衔接顺畅。监测点位布设充分遵循科学原则，综合考虑污染源位置、主导风向、水系分布等因素，点位代表性好、覆盖全面，且有详细的布点依据说明。采样频次与周期安排完全符合相关技术规范及我方提出的特殊要求，同时兼顾了季节变化、生产周期等因素，确保监测数据的代表性、可比性和完整性。方案整体体现出对项目背景的深入理解和专业策划能力。</w:t>
            </w:r>
          </w:p>
          <w:p>
            <w:pPr>
              <w:pStyle w:val="8"/>
              <w:spacing w:before="0" w:afterAutospacing="0" w:line="440" w:lineRule="exact"/>
              <w:ind w:firstLine="482" w:firstLineChars="200"/>
              <w:rPr>
                <w:rFonts w:hint="default" w:ascii="Times New Roman" w:hAnsi="Times New Roman" w:eastAsia="宋体" w:cs="Times New Roman"/>
                <w:sz w:val="24"/>
              </w:rPr>
            </w:pPr>
            <w:r>
              <w:rPr>
                <w:rStyle w:val="13"/>
                <w:rFonts w:hint="default" w:ascii="Times New Roman" w:hAnsi="Times New Roman" w:eastAsia="宋体" w:cs="Times New Roman"/>
                <w:b/>
                <w:bCs/>
                <w:i w:val="0"/>
                <w:iCs w:val="0"/>
                <w:caps w:val="0"/>
                <w:color w:val="0F1115"/>
                <w:spacing w:val="0"/>
                <w:sz w:val="24"/>
                <w:szCs w:val="24"/>
                <w:shd w:val="clear" w:fill="FFFFFF"/>
              </w:rPr>
              <w:t>良好（7分）</w:t>
            </w:r>
            <w:r>
              <w:rPr>
                <w:rFonts w:hint="default" w:ascii="Times New Roman" w:hAnsi="Times New Roman" w:eastAsia="宋体" w:cs="Times New Roman"/>
                <w:i w:val="0"/>
                <w:iCs w:val="0"/>
                <w:caps w:val="0"/>
                <w:color w:val="0F1115"/>
                <w:spacing w:val="0"/>
                <w:sz w:val="24"/>
                <w:szCs w:val="24"/>
                <w:shd w:val="clear" w:fill="FFFFFF"/>
              </w:rPr>
              <w:br w:type="textWrapping"/>
            </w:r>
            <w:r>
              <w:rPr>
                <w:rFonts w:hint="default" w:ascii="Times New Roman" w:hAnsi="Times New Roman" w:eastAsia="宋体" w:cs="Times New Roman"/>
                <w:i w:val="0"/>
                <w:iCs w:val="0"/>
                <w:caps w:val="0"/>
                <w:color w:val="0F1115"/>
                <w:spacing w:val="0"/>
                <w:sz w:val="24"/>
                <w:szCs w:val="24"/>
                <w:shd w:val="clear" w:fill="FFFFFF"/>
              </w:rPr>
              <w:t>方案能够结合我院基地的基本特点进行编制，具有一定的针对性。检测流程基本清晰，主要环节明确。点位布设大体合理，但可能在某些细节（如局部地形影响、敏感点覆盖）上考虑不够周全，或布点依据说明不够详尽。采样频次与周期安排符合相关规范要求，也基本满足我方提出的时间节点，但未完全体现出对基地特殊运行规律的深度契合。方案整体可行，但在针对性和精细化方面尚有提升空间。</w:t>
            </w:r>
          </w:p>
          <w:p>
            <w:pPr>
              <w:pStyle w:val="8"/>
              <w:keepNext w:val="0"/>
              <w:keepLines w:val="0"/>
              <w:widowControl/>
              <w:suppressLineNumbers w:val="0"/>
              <w:spacing w:before="0" w:beforeAutospacing="0" w:after="0" w:afterAutospacing="0" w:line="440" w:lineRule="exact"/>
              <w:ind w:left="0" w:right="0" w:firstLine="482" w:firstLineChars="200"/>
              <w:rPr>
                <w:rFonts w:hint="default" w:ascii="Times New Roman" w:hAnsi="Times New Roman" w:eastAsia="宋体" w:cs="Times New Roman"/>
              </w:rPr>
            </w:pPr>
            <w:r>
              <w:rPr>
                <w:rStyle w:val="13"/>
                <w:rFonts w:hint="default" w:ascii="Times New Roman" w:hAnsi="Times New Roman" w:eastAsia="宋体" w:cs="Times New Roman"/>
                <w:b/>
                <w:bCs/>
                <w:i w:val="0"/>
                <w:iCs w:val="0"/>
                <w:caps w:val="0"/>
                <w:color w:val="0F1115"/>
                <w:spacing w:val="0"/>
                <w:sz w:val="24"/>
                <w:szCs w:val="24"/>
                <w:shd w:val="clear" w:fill="FFFFFF"/>
              </w:rPr>
              <w:t>一般（4分）</w:t>
            </w:r>
            <w:r>
              <w:rPr>
                <w:rFonts w:hint="default" w:ascii="Times New Roman" w:hAnsi="Times New Roman" w:eastAsia="宋体" w:cs="Times New Roman"/>
                <w:i w:val="0"/>
                <w:iCs w:val="0"/>
                <w:caps w:val="0"/>
                <w:color w:val="0F1115"/>
                <w:spacing w:val="0"/>
                <w:sz w:val="24"/>
                <w:szCs w:val="24"/>
                <w:shd w:val="clear" w:fill="FFFFFF"/>
              </w:rPr>
              <w:br w:type="textWrapping"/>
            </w:r>
            <w:r>
              <w:rPr>
                <w:rFonts w:hint="default" w:ascii="Times New Roman" w:hAnsi="Times New Roman" w:eastAsia="宋体" w:cs="Times New Roman"/>
                <w:i w:val="0"/>
                <w:iCs w:val="0"/>
                <w:caps w:val="0"/>
                <w:color w:val="0F1115"/>
                <w:spacing w:val="0"/>
                <w:sz w:val="24"/>
                <w:szCs w:val="24"/>
                <w:shd w:val="clear" w:fill="FFFFFF"/>
              </w:rPr>
              <w:t>方案对我院基地特点考虑不足，存在一定程度的通用化模板痕迹。检测流程存在模糊或缺失环节，可操作性不强。点位布设存在明显不合理之处（如遗漏关键区域、布点过于稀疏或密集），缺乏科学依据说明。采样频次与周期安排与规范要求存在偏差，或未能响应我方提出的关键时间要求。方案整体质量难以保证监测结果的代表性和准确性，需要较大修改。</w:t>
            </w:r>
          </w:p>
          <w:p>
            <w:pPr>
              <w:keepNext w:val="0"/>
              <w:keepLines w:val="0"/>
              <w:widowControl/>
              <w:numPr>
                <w:ilvl w:val="-1"/>
                <w:numId w:val="0"/>
              </w:numPr>
              <w:suppressLineNumbers w:val="0"/>
              <w:spacing w:before="90" w:beforeAutospacing="0" w:after="0" w:afterAutospacing="1"/>
              <w:ind w:left="-360" w:firstLine="0"/>
            </w:pPr>
          </w:p>
          <w:p>
            <w:pPr>
              <w:widowControl/>
              <w:jc w:val="left"/>
              <w:textAlignment w:val="center"/>
              <w:rPr>
                <w:rFonts w:ascii="Times New Roman" w:hAnsi="Times New Roman" w:eastAsia="宋体" w:cs="Times New Roman"/>
                <w:color w:val="000000"/>
                <w:sz w:val="23"/>
                <w:szCs w:val="23"/>
              </w:rPr>
            </w:pPr>
          </w:p>
        </w:tc>
        <w:tc>
          <w:tcPr>
            <w:tcW w:w="12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23"/>
                <w:szCs w:val="23"/>
              </w:rPr>
            </w:pPr>
            <w:r>
              <w:rPr>
                <w:rFonts w:ascii="Times New Roman" w:hAnsi="Times New Roman" w:eastAsia="宋体" w:cs="Times New Roman"/>
                <w:color w:val="000000"/>
                <w:kern w:val="0"/>
                <w:sz w:val="24"/>
                <w:szCs w:val="24"/>
                <w:lang w:bidi="ar"/>
              </w:rPr>
              <w:t>20</w:t>
            </w:r>
            <w:r>
              <w:rPr>
                <w:rFonts w:hint="default" w:ascii="Times New Roman" w:hAnsi="Times New Roman" w:eastAsia="宋体" w:cs="Times New Roman"/>
                <w:kern w:val="0"/>
                <w:sz w:val="24"/>
                <w:szCs w:val="24"/>
                <w:lang w:bidi="ar"/>
              </w:rPr>
              <w:t>分</w:t>
            </w:r>
          </w:p>
        </w:tc>
      </w:tr>
      <w:tr>
        <w:tblPrEx>
          <w:tblCellMar>
            <w:top w:w="0" w:type="dxa"/>
            <w:left w:w="108" w:type="dxa"/>
            <w:bottom w:w="0" w:type="dxa"/>
            <w:right w:w="108" w:type="dxa"/>
          </w:tblCellMar>
        </w:tblPrEx>
        <w:trPr>
          <w:trHeight w:val="174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szCs w:val="22"/>
              </w:rPr>
            </w:pPr>
          </w:p>
        </w:tc>
        <w:tc>
          <w:tcPr>
            <w:tcW w:w="24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szCs w:val="22"/>
              </w:rPr>
            </w:pPr>
          </w:p>
        </w:tc>
        <w:tc>
          <w:tcPr>
            <w:tcW w:w="4290" w:type="dxa"/>
            <w:tcBorders>
              <w:top w:val="single" w:color="000000" w:sz="4" w:space="0"/>
              <w:left w:val="single" w:color="000000" w:sz="4" w:space="0"/>
              <w:bottom w:val="single" w:color="000000" w:sz="4" w:space="0"/>
              <w:right w:val="single" w:color="000000" w:sz="4" w:space="0"/>
            </w:tcBorders>
            <w:vAlign w:val="center"/>
          </w:tcPr>
          <w:p>
            <w:pPr>
              <w:pStyle w:val="8"/>
              <w:keepNext w:val="0"/>
              <w:keepLines w:val="0"/>
              <w:widowControl/>
              <w:numPr>
                <w:ilvl w:val="0"/>
                <w:numId w:val="4"/>
              </w:numPr>
              <w:suppressLineNumbers w:val="0"/>
              <w:shd w:val="clear" w:fill="FFFFFF"/>
              <w:spacing w:before="0" w:beforeAutospacing="0" w:after="0" w:afterAutospacing="0" w:line="440" w:lineRule="exact"/>
              <w:ind w:left="0" w:right="0" w:firstLine="482" w:firstLineChars="200"/>
              <w:rPr>
                <w:rStyle w:val="27"/>
                <w:rFonts w:hint="default" w:ascii="Times New Roman" w:hAnsi="Times New Roman" w:eastAsia="宋体" w:cs="Times New Roman"/>
                <w:sz w:val="24"/>
                <w:szCs w:val="24"/>
                <w:lang w:bidi="ar"/>
              </w:rPr>
            </w:pPr>
            <w:r>
              <w:rPr>
                <w:rStyle w:val="27"/>
                <w:rFonts w:hint="default" w:ascii="Times New Roman" w:hAnsi="Times New Roman" w:eastAsia="宋体" w:cs="Times New Roman"/>
                <w:b/>
                <w:bCs/>
                <w:sz w:val="24"/>
                <w:szCs w:val="24"/>
                <w:lang w:bidi="ar"/>
              </w:rPr>
              <w:t>项目覆盖与理解：</w:t>
            </w:r>
            <w:r>
              <w:rPr>
                <w:rFonts w:hint="default" w:ascii="Times New Roman" w:hAnsi="Times New Roman" w:eastAsia="宋体" w:cs="Times New Roman"/>
                <w:color w:val="000000"/>
                <w:kern w:val="0"/>
                <w:sz w:val="24"/>
                <w:szCs w:val="24"/>
                <w:lang w:bidi="ar"/>
              </w:rPr>
              <w:t xml:space="preserve"> </w:t>
            </w:r>
            <w:r>
              <w:rPr>
                <w:rStyle w:val="27"/>
                <w:rFonts w:hint="default" w:ascii="Times New Roman" w:hAnsi="Times New Roman" w:eastAsia="宋体" w:cs="Times New Roman"/>
                <w:sz w:val="24"/>
                <w:szCs w:val="24"/>
                <w:lang w:bidi="ar"/>
              </w:rPr>
              <w:t>方案中对检测的各项指标理解准确，无遗漏，并对关键指标（如</w:t>
            </w:r>
            <w:r>
              <w:rPr>
                <w:rFonts w:hint="default" w:ascii="Times New Roman" w:hAnsi="Times New Roman" w:eastAsia="宋体" w:cs="Times New Roman"/>
                <w:color w:val="000000"/>
                <w:kern w:val="0"/>
                <w:sz w:val="24"/>
                <w:szCs w:val="24"/>
                <w:lang w:bidi="ar"/>
              </w:rPr>
              <w:t>COD</w:t>
            </w:r>
            <w:r>
              <w:rPr>
                <w:rStyle w:val="27"/>
                <w:rFonts w:hint="default" w:ascii="Times New Roman" w:hAnsi="Times New Roman" w:eastAsia="宋体" w:cs="Times New Roman"/>
                <w:sz w:val="24"/>
                <w:szCs w:val="24"/>
                <w:lang w:bidi="ar"/>
              </w:rPr>
              <w:t>、氨氮、非甲烷总烃等）的检测方法和注意事项有说明。</w:t>
            </w:r>
          </w:p>
          <w:p>
            <w:pPr>
              <w:pStyle w:val="8"/>
              <w:keepNext w:val="0"/>
              <w:keepLines w:val="0"/>
              <w:widowControl/>
              <w:numPr>
                <w:ilvl w:val="-1"/>
                <w:numId w:val="0"/>
              </w:numPr>
              <w:suppressLineNumbers w:val="0"/>
              <w:shd w:val="clear" w:fill="FFFFFF"/>
              <w:spacing w:before="0" w:beforeAutospacing="0" w:after="0" w:afterAutospacing="0" w:line="440" w:lineRule="exact"/>
              <w:ind w:left="0" w:right="0" w:firstLine="482" w:firstLineChars="200"/>
              <w:rPr>
                <w:rFonts w:hint="default" w:ascii="Times New Roman" w:hAnsi="Times New Roman" w:eastAsia="宋体" w:cs="Times New Roman"/>
                <w:i w:val="0"/>
                <w:iCs w:val="0"/>
                <w:caps w:val="0"/>
                <w:color w:val="0F1115"/>
                <w:spacing w:val="0"/>
                <w:sz w:val="24"/>
                <w:szCs w:val="24"/>
              </w:rPr>
            </w:pPr>
            <w:r>
              <w:rPr>
                <w:rStyle w:val="13"/>
                <w:rFonts w:hint="default" w:ascii="Times New Roman" w:hAnsi="Times New Roman" w:eastAsia="宋体" w:cs="Times New Roman"/>
                <w:b/>
                <w:bCs/>
                <w:i w:val="0"/>
                <w:iCs w:val="0"/>
                <w:caps w:val="0"/>
                <w:color w:val="0F1115"/>
                <w:spacing w:val="0"/>
                <w:sz w:val="24"/>
                <w:szCs w:val="24"/>
                <w:shd w:val="clear" w:fill="FFFFFF"/>
              </w:rPr>
              <w:t>优秀（10分）</w:t>
            </w:r>
            <w:r>
              <w:rPr>
                <w:rFonts w:hint="default" w:ascii="Times New Roman" w:hAnsi="Times New Roman" w:eastAsia="宋体" w:cs="Times New Roman"/>
                <w:i w:val="0"/>
                <w:iCs w:val="0"/>
                <w:caps w:val="0"/>
                <w:color w:val="0F1115"/>
                <w:spacing w:val="0"/>
                <w:sz w:val="24"/>
                <w:szCs w:val="24"/>
                <w:shd w:val="clear" w:fill="FFFFFF"/>
              </w:rPr>
              <w:br w:type="textWrapping"/>
            </w:r>
            <w:r>
              <w:rPr>
                <w:rFonts w:hint="default" w:ascii="Times New Roman" w:hAnsi="Times New Roman" w:eastAsia="宋体" w:cs="Times New Roman"/>
                <w:i w:val="0"/>
                <w:iCs w:val="0"/>
                <w:caps w:val="0"/>
                <w:color w:val="0F1115"/>
                <w:spacing w:val="0"/>
                <w:sz w:val="24"/>
                <w:szCs w:val="24"/>
                <w:shd w:val="clear" w:fill="FFFFFF"/>
              </w:rPr>
              <w:t>方案对检测的各项指标理解准确、全面，无任何遗漏；对关键指标（如COD、氨氮、非甲烷总烃等）的检测方法、技术要点及注意事项有详细、科学、清晰的说明，充分体现对相关标准规范和执行要求的深入理解。</w:t>
            </w:r>
          </w:p>
          <w:p>
            <w:pPr>
              <w:pStyle w:val="8"/>
              <w:keepNext w:val="0"/>
              <w:keepLines w:val="0"/>
              <w:widowControl/>
              <w:suppressLineNumbers w:val="0"/>
              <w:shd w:val="clear" w:fill="FFFFFF"/>
              <w:spacing w:before="0" w:beforeAutospacing="0" w:after="0" w:afterAutospacing="0" w:line="440" w:lineRule="exact"/>
              <w:ind w:left="0" w:right="0" w:firstLine="482" w:firstLineChars="200"/>
              <w:rPr>
                <w:rFonts w:hint="default" w:ascii="Times New Roman" w:hAnsi="Times New Roman" w:eastAsia="宋体" w:cs="Times New Roman"/>
                <w:i w:val="0"/>
                <w:iCs w:val="0"/>
                <w:caps w:val="0"/>
                <w:color w:val="0F1115"/>
                <w:spacing w:val="0"/>
                <w:sz w:val="24"/>
                <w:szCs w:val="24"/>
              </w:rPr>
            </w:pPr>
            <w:r>
              <w:rPr>
                <w:rStyle w:val="13"/>
                <w:rFonts w:hint="default" w:ascii="Times New Roman" w:hAnsi="Times New Roman" w:eastAsia="宋体" w:cs="Times New Roman"/>
                <w:b/>
                <w:bCs/>
                <w:i w:val="0"/>
                <w:iCs w:val="0"/>
                <w:caps w:val="0"/>
                <w:color w:val="0F1115"/>
                <w:spacing w:val="0"/>
                <w:sz w:val="24"/>
                <w:szCs w:val="24"/>
                <w:shd w:val="clear" w:fill="FFFFFF"/>
              </w:rPr>
              <w:t>良好（7分）</w:t>
            </w:r>
            <w:r>
              <w:rPr>
                <w:rFonts w:hint="default" w:ascii="Times New Roman" w:hAnsi="Times New Roman" w:eastAsia="宋体" w:cs="Times New Roman"/>
                <w:i w:val="0"/>
                <w:iCs w:val="0"/>
                <w:caps w:val="0"/>
                <w:color w:val="0F1115"/>
                <w:spacing w:val="0"/>
                <w:sz w:val="24"/>
                <w:szCs w:val="24"/>
                <w:shd w:val="clear" w:fill="FFFFFF"/>
              </w:rPr>
              <w:br w:type="textWrapping"/>
            </w:r>
            <w:r>
              <w:rPr>
                <w:rFonts w:hint="default" w:ascii="Times New Roman" w:hAnsi="Times New Roman" w:eastAsia="宋体" w:cs="Times New Roman"/>
                <w:i w:val="0"/>
                <w:iCs w:val="0"/>
                <w:caps w:val="0"/>
                <w:color w:val="0F1115"/>
                <w:spacing w:val="0"/>
                <w:sz w:val="24"/>
                <w:szCs w:val="24"/>
                <w:shd w:val="clear" w:fill="FFFFFF"/>
              </w:rPr>
              <w:t>方案对检测的各项指标理解基本准确，无重大遗漏；对关键指标的检测方法和注意事项有说明，但可能不够详尽或存在少量不明确之处，整体理解较到位。</w:t>
            </w:r>
          </w:p>
          <w:p>
            <w:pPr>
              <w:pStyle w:val="8"/>
              <w:keepNext w:val="0"/>
              <w:keepLines w:val="0"/>
              <w:widowControl/>
              <w:suppressLineNumbers w:val="0"/>
              <w:shd w:val="clear" w:fill="FFFFFF"/>
              <w:spacing w:before="0" w:beforeAutospacing="0" w:after="0" w:afterAutospacing="0" w:line="440" w:lineRule="exact"/>
              <w:ind w:left="0" w:right="0" w:firstLine="482" w:firstLineChars="200"/>
              <w:rPr>
                <w:rFonts w:hint="default" w:ascii="Times New Roman" w:hAnsi="Times New Roman" w:eastAsia="宋体" w:cs="Times New Roman"/>
                <w:i w:val="0"/>
                <w:iCs w:val="0"/>
                <w:caps w:val="0"/>
                <w:color w:val="0F1115"/>
                <w:spacing w:val="0"/>
                <w:sz w:val="24"/>
                <w:szCs w:val="24"/>
              </w:rPr>
            </w:pPr>
            <w:r>
              <w:rPr>
                <w:rStyle w:val="13"/>
                <w:rFonts w:hint="default" w:ascii="Times New Roman" w:hAnsi="Times New Roman" w:eastAsia="宋体" w:cs="Times New Roman"/>
                <w:b/>
                <w:bCs/>
                <w:i w:val="0"/>
                <w:iCs w:val="0"/>
                <w:caps w:val="0"/>
                <w:color w:val="0F1115"/>
                <w:spacing w:val="0"/>
                <w:sz w:val="24"/>
                <w:szCs w:val="24"/>
                <w:shd w:val="clear" w:fill="FFFFFF"/>
              </w:rPr>
              <w:t>一般（4分）</w:t>
            </w:r>
            <w:r>
              <w:rPr>
                <w:rFonts w:hint="default" w:ascii="Times New Roman" w:hAnsi="Times New Roman" w:eastAsia="宋体" w:cs="Times New Roman"/>
                <w:i w:val="0"/>
                <w:iCs w:val="0"/>
                <w:caps w:val="0"/>
                <w:color w:val="0F1115"/>
                <w:spacing w:val="0"/>
                <w:sz w:val="24"/>
                <w:szCs w:val="24"/>
                <w:shd w:val="clear" w:fill="FFFFFF"/>
              </w:rPr>
              <w:br w:type="textWrapping"/>
            </w:r>
            <w:r>
              <w:rPr>
                <w:rFonts w:hint="default" w:ascii="Times New Roman" w:hAnsi="Times New Roman" w:eastAsia="宋体" w:cs="Times New Roman"/>
                <w:i w:val="0"/>
                <w:iCs w:val="0"/>
                <w:caps w:val="0"/>
                <w:color w:val="0F1115"/>
                <w:spacing w:val="0"/>
                <w:sz w:val="24"/>
                <w:szCs w:val="24"/>
                <w:shd w:val="clear" w:fill="FFFFFF"/>
              </w:rPr>
              <w:t>方案对检测指标的理解存在部分偏差或遗漏；对关键指标的检测方法和注意事项说明不充分、笼统或存在错误，反映出对项目要求的理解不够深入。</w:t>
            </w:r>
          </w:p>
          <w:p>
            <w:pPr>
              <w:widowControl/>
              <w:jc w:val="left"/>
              <w:textAlignment w:val="center"/>
              <w:rPr>
                <w:rFonts w:ascii="Times New Roman" w:hAnsi="Times New Roman" w:eastAsia="宋体" w:cs="Times New Roman"/>
                <w:color w:val="000000"/>
                <w:sz w:val="23"/>
                <w:szCs w:val="23"/>
              </w:rPr>
            </w:pPr>
          </w:p>
        </w:tc>
        <w:tc>
          <w:tcPr>
            <w:tcW w:w="12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3"/>
                <w:szCs w:val="23"/>
              </w:rPr>
            </w:pPr>
          </w:p>
        </w:tc>
      </w:tr>
      <w:tr>
        <w:tblPrEx>
          <w:tblCellMar>
            <w:top w:w="0" w:type="dxa"/>
            <w:left w:w="108" w:type="dxa"/>
            <w:bottom w:w="0" w:type="dxa"/>
            <w:right w:w="108" w:type="dxa"/>
          </w:tblCellMar>
        </w:tblPrEx>
        <w:trPr>
          <w:trHeight w:val="1440" w:hRule="atLeast"/>
        </w:trPr>
        <w:tc>
          <w:tcPr>
            <w:tcW w:w="108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lang w:bidi="ar"/>
              </w:rPr>
              <w:t>2</w:t>
            </w:r>
          </w:p>
        </w:tc>
        <w:tc>
          <w:tcPr>
            <w:tcW w:w="246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sz w:val="24"/>
                <w:szCs w:val="24"/>
              </w:rPr>
            </w:pPr>
            <w:r>
              <w:rPr>
                <w:rStyle w:val="26"/>
                <w:rFonts w:hint="default" w:ascii="Times New Roman" w:hAnsi="Times New Roman" w:eastAsia="宋体" w:cs="Times New Roman"/>
                <w:sz w:val="24"/>
                <w:szCs w:val="24"/>
                <w:lang w:bidi="ar"/>
              </w:rPr>
              <w:t>项目人员配置</w:t>
            </w:r>
          </w:p>
        </w:tc>
        <w:tc>
          <w:tcPr>
            <w:tcW w:w="42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1"/>
                <w:numId w:val="0"/>
              </w:numPr>
              <w:suppressLineNumbers w:val="0"/>
              <w:spacing w:before="0" w:beforeAutospacing="0" w:after="0" w:afterAutospacing="0" w:line="440" w:lineRule="exact"/>
              <w:ind w:left="0" w:leftChars="0" w:firstLine="482" w:firstLineChars="200"/>
              <w:rPr>
                <w:rFonts w:hint="default" w:ascii="Times New Roman" w:hAnsi="Times New Roman" w:eastAsia="宋体" w:cs="Times New Roman"/>
                <w:sz w:val="24"/>
              </w:rPr>
            </w:pPr>
            <w:r>
              <w:rPr>
                <w:rFonts w:hint="default" w:ascii="Times New Roman" w:hAnsi="Times New Roman" w:eastAsia="宋体" w:cs="Times New Roman"/>
                <w:b/>
                <w:bCs/>
                <w:color w:val="000000"/>
                <w:kern w:val="0"/>
                <w:sz w:val="24"/>
                <w:szCs w:val="24"/>
                <w:lang w:bidi="ar"/>
              </w:rPr>
              <w:t xml:space="preserve">1. </w:t>
            </w:r>
            <w:r>
              <w:rPr>
                <w:rStyle w:val="27"/>
                <w:rFonts w:hint="default" w:ascii="Times New Roman" w:hAnsi="Times New Roman" w:eastAsia="宋体" w:cs="Times New Roman"/>
                <w:b/>
                <w:bCs/>
                <w:sz w:val="24"/>
                <w:szCs w:val="24"/>
                <w:lang w:bidi="ar"/>
              </w:rPr>
              <w:t>项目团队：</w:t>
            </w:r>
            <w:r>
              <w:rPr>
                <w:rFonts w:hint="default" w:ascii="Times New Roman" w:hAnsi="Times New Roman" w:eastAsia="宋体" w:cs="Times New Roman"/>
                <w:color w:val="000000"/>
                <w:kern w:val="0"/>
                <w:sz w:val="24"/>
                <w:szCs w:val="24"/>
                <w:lang w:bidi="ar"/>
              </w:rPr>
              <w:t xml:space="preserve"> </w:t>
            </w:r>
            <w:r>
              <w:rPr>
                <w:rStyle w:val="27"/>
                <w:rFonts w:hint="default" w:ascii="Times New Roman" w:hAnsi="Times New Roman" w:eastAsia="宋体" w:cs="Times New Roman"/>
                <w:sz w:val="24"/>
                <w:szCs w:val="24"/>
                <w:lang w:bidi="ar"/>
              </w:rPr>
              <w:t>明确项目负责人及主要检测人员名单、资质（职称）、相关工作经验。团队结构合理、经验丰富、持证齐全。</w:t>
            </w:r>
          </w:p>
          <w:p>
            <w:pPr>
              <w:pStyle w:val="8"/>
              <w:spacing w:before="0" w:afterAutospacing="0" w:line="440" w:lineRule="exact"/>
              <w:ind w:firstLine="482" w:firstLineChars="200"/>
              <w:rPr>
                <w:rFonts w:hint="default" w:ascii="Times New Roman" w:hAnsi="Times New Roman" w:eastAsia="宋体" w:cs="Times New Roman"/>
                <w:sz w:val="24"/>
              </w:rPr>
            </w:pPr>
            <w:r>
              <w:rPr>
                <w:rStyle w:val="13"/>
                <w:rFonts w:hint="default" w:ascii="Times New Roman" w:hAnsi="Times New Roman" w:eastAsia="宋体" w:cs="Times New Roman"/>
                <w:b/>
                <w:bCs/>
                <w:i w:val="0"/>
                <w:iCs w:val="0"/>
                <w:caps w:val="0"/>
                <w:color w:val="0F1115"/>
                <w:spacing w:val="0"/>
                <w:sz w:val="24"/>
                <w:szCs w:val="24"/>
                <w:shd w:val="clear" w:fill="FFFFFF"/>
              </w:rPr>
              <w:t>优秀（10分）</w:t>
            </w:r>
            <w:r>
              <w:rPr>
                <w:rFonts w:hint="default" w:ascii="Times New Roman" w:hAnsi="Times New Roman" w:eastAsia="宋体" w:cs="Times New Roman"/>
                <w:i w:val="0"/>
                <w:iCs w:val="0"/>
                <w:caps w:val="0"/>
                <w:color w:val="0F1115"/>
                <w:spacing w:val="0"/>
                <w:sz w:val="24"/>
                <w:szCs w:val="24"/>
                <w:shd w:val="clear" w:fill="FFFFFF"/>
              </w:rPr>
              <w:br w:type="textWrapping"/>
            </w:r>
            <w:r>
              <w:rPr>
                <w:rFonts w:hint="default" w:ascii="Times New Roman" w:hAnsi="Times New Roman" w:eastAsia="宋体" w:cs="Times New Roman"/>
                <w:i w:val="0"/>
                <w:iCs w:val="0"/>
                <w:caps w:val="0"/>
                <w:color w:val="0F1115"/>
                <w:spacing w:val="0"/>
                <w:sz w:val="24"/>
                <w:szCs w:val="24"/>
                <w:shd w:val="clear" w:fill="FFFFFF"/>
              </w:rPr>
              <w:t>项目团队人员信息完整、清晰，明确列出项目负责人及所有主要检测人员的姓名、岗位、职称，并详细说明每位成员在环境检测领域的从业年限及同类项目经验（如5年以上经验或参与过多个重点检测项目）。团队专业结构科学合理，涵盖采样、分析、质量控制、数据审核等关键环节，人员分工明确。所有检测人员均持有有效的上岗证书。团队整体实力雄厚，能充分保障项目高效、高质量完成。</w:t>
            </w:r>
          </w:p>
          <w:p>
            <w:pPr>
              <w:pStyle w:val="8"/>
              <w:spacing w:before="0" w:afterAutospacing="0" w:line="440" w:lineRule="exact"/>
              <w:ind w:firstLine="482" w:firstLineChars="200"/>
              <w:rPr>
                <w:rFonts w:hint="default" w:ascii="Times New Roman" w:hAnsi="Times New Roman" w:eastAsia="宋体" w:cs="Times New Roman"/>
                <w:sz w:val="24"/>
              </w:rPr>
            </w:pPr>
            <w:r>
              <w:rPr>
                <w:rStyle w:val="13"/>
                <w:rFonts w:hint="default" w:ascii="Times New Roman" w:hAnsi="Times New Roman" w:eastAsia="宋体" w:cs="Times New Roman"/>
                <w:b/>
                <w:bCs/>
                <w:i w:val="0"/>
                <w:iCs w:val="0"/>
                <w:caps w:val="0"/>
                <w:color w:val="0F1115"/>
                <w:spacing w:val="0"/>
                <w:sz w:val="24"/>
                <w:szCs w:val="24"/>
                <w:shd w:val="clear" w:fill="FFFFFF"/>
              </w:rPr>
              <w:t>良好（7分）</w:t>
            </w:r>
            <w:r>
              <w:rPr>
                <w:rFonts w:hint="default" w:ascii="Times New Roman" w:hAnsi="Times New Roman" w:eastAsia="宋体" w:cs="Times New Roman"/>
                <w:i w:val="0"/>
                <w:iCs w:val="0"/>
                <w:caps w:val="0"/>
                <w:color w:val="0F1115"/>
                <w:spacing w:val="0"/>
                <w:sz w:val="24"/>
                <w:szCs w:val="24"/>
                <w:shd w:val="clear" w:fill="FFFFFF"/>
              </w:rPr>
              <w:br w:type="textWrapping"/>
            </w:r>
            <w:r>
              <w:rPr>
                <w:rFonts w:hint="default" w:ascii="Times New Roman" w:hAnsi="Times New Roman" w:eastAsia="宋体" w:cs="Times New Roman"/>
                <w:i w:val="0"/>
                <w:iCs w:val="0"/>
                <w:caps w:val="0"/>
                <w:color w:val="0F1115"/>
                <w:spacing w:val="0"/>
                <w:sz w:val="24"/>
                <w:szCs w:val="24"/>
                <w:shd w:val="clear" w:fill="FFFFFF"/>
              </w:rPr>
              <w:t>项目团队人员信息基本完整，列出了项目负责人及主要检测人员的姓名、职称和相关工作经验（3年左右经验或参与过类似项目）。团队结构较为合理，主要岗位人员基本齐备，但可能存在个别岗位人员经验稍显不足或资质描述不够具体的情况。多数检测人员持有上岗证书，但整体上能满足项目基本要求。</w:t>
            </w:r>
          </w:p>
          <w:p>
            <w:pPr>
              <w:pStyle w:val="8"/>
              <w:spacing w:before="0" w:afterAutospacing="0" w:line="440" w:lineRule="exact"/>
              <w:ind w:left="0" w:firstLine="482" w:firstLineChars="200"/>
            </w:pPr>
            <w:r>
              <w:rPr>
                <w:rStyle w:val="13"/>
                <w:rFonts w:hint="default" w:ascii="Times New Roman" w:hAnsi="Times New Roman" w:eastAsia="宋体" w:cs="Times New Roman"/>
                <w:b/>
                <w:bCs/>
                <w:i w:val="0"/>
                <w:iCs w:val="0"/>
                <w:caps w:val="0"/>
                <w:color w:val="0F1115"/>
                <w:spacing w:val="0"/>
                <w:sz w:val="24"/>
                <w:szCs w:val="24"/>
                <w:shd w:val="clear" w:fill="FFFFFF"/>
              </w:rPr>
              <w:t>一般（4分）</w:t>
            </w:r>
            <w:r>
              <w:rPr>
                <w:rFonts w:hint="default" w:ascii="Times New Roman" w:hAnsi="Times New Roman" w:eastAsia="宋体" w:cs="Times New Roman"/>
                <w:i w:val="0"/>
                <w:iCs w:val="0"/>
                <w:caps w:val="0"/>
                <w:color w:val="0F1115"/>
                <w:spacing w:val="0"/>
                <w:sz w:val="24"/>
                <w:szCs w:val="24"/>
                <w:shd w:val="clear" w:fill="FFFFFF"/>
              </w:rPr>
              <w:br w:type="textWrapping"/>
            </w:r>
            <w:r>
              <w:rPr>
                <w:rFonts w:hint="default" w:ascii="Times New Roman" w:hAnsi="Times New Roman" w:eastAsia="宋体" w:cs="Times New Roman"/>
                <w:i w:val="0"/>
                <w:iCs w:val="0"/>
                <w:caps w:val="0"/>
                <w:color w:val="0F1115"/>
                <w:spacing w:val="0"/>
                <w:sz w:val="24"/>
                <w:szCs w:val="24"/>
                <w:shd w:val="clear" w:fill="FFFFFF"/>
              </w:rPr>
              <w:t>项目团队人员信息不完整或表述模糊，如未明确列出所有主要检测人员的资质、职称或工作经验，或经验描述与项目关联度低。团队结构存在明显缺陷，如缺少关键岗位人员（如质量控制人员），或人员分工不合理。部分检测人员无证上岗，或证书已过期。团队整体能力难以保证检测工作的规范性和数据质量，存在较大履约风险。</w:t>
            </w:r>
          </w:p>
          <w:p>
            <w:pPr>
              <w:widowControl/>
              <w:jc w:val="left"/>
              <w:textAlignment w:val="center"/>
              <w:rPr>
                <w:rFonts w:ascii="Times New Roman" w:hAnsi="Times New Roman" w:eastAsia="宋体" w:cs="Times New Roman"/>
                <w:color w:val="000000"/>
                <w:sz w:val="23"/>
                <w:szCs w:val="23"/>
              </w:rPr>
            </w:pPr>
          </w:p>
        </w:tc>
        <w:tc>
          <w:tcPr>
            <w:tcW w:w="124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kern w:val="0"/>
                <w:sz w:val="23"/>
                <w:szCs w:val="23"/>
                <w:lang w:bidi="ar"/>
              </w:rPr>
            </w:pPr>
            <w:r>
              <w:rPr>
                <w:rFonts w:hint="default" w:ascii="Times New Roman" w:hAnsi="Times New Roman" w:eastAsia="宋体" w:cs="Times New Roman"/>
                <w:color w:val="000000"/>
                <w:kern w:val="0"/>
                <w:sz w:val="24"/>
                <w:szCs w:val="24"/>
                <w:lang w:bidi="ar"/>
              </w:rPr>
              <w:t>15分</w:t>
            </w:r>
          </w:p>
        </w:tc>
      </w:tr>
      <w:tr>
        <w:tblPrEx>
          <w:tblCellMar>
            <w:top w:w="0" w:type="dxa"/>
            <w:left w:w="108" w:type="dxa"/>
            <w:bottom w:w="0" w:type="dxa"/>
            <w:right w:w="108" w:type="dxa"/>
          </w:tblCellMar>
        </w:tblPrEx>
        <w:trPr>
          <w:trHeight w:val="1440" w:hRule="atLeast"/>
        </w:trPr>
        <w:tc>
          <w:tcPr>
            <w:tcW w:w="1080"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kern w:val="0"/>
                <w:sz w:val="22"/>
                <w:szCs w:val="22"/>
                <w:lang w:bidi="ar"/>
              </w:rPr>
            </w:pPr>
          </w:p>
        </w:tc>
        <w:tc>
          <w:tcPr>
            <w:tcW w:w="2460"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Style w:val="26"/>
                <w:rFonts w:hint="default" w:hAnsi="Times New Roman"/>
                <w:lang w:bidi="ar"/>
              </w:rPr>
            </w:pPr>
          </w:p>
        </w:tc>
        <w:tc>
          <w:tcPr>
            <w:tcW w:w="429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ind w:firstLine="480" w:firstLineChars="200"/>
              <w:jc w:val="both"/>
              <w:textAlignment w:val="center"/>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kern w:val="0"/>
                <w:sz w:val="24"/>
                <w:lang w:bidi="ar"/>
              </w:rPr>
              <w:t>2.</w:t>
            </w:r>
            <w:r>
              <w:rPr>
                <w:rFonts w:hint="eastAsia" w:ascii="Times New Roman" w:hAnsi="Times New Roman" w:eastAsia="宋体" w:cs="Times New Roman"/>
                <w:kern w:val="0"/>
                <w:sz w:val="24"/>
                <w:lang w:val="en-US" w:eastAsia="zh-CN" w:bidi="ar"/>
              </w:rPr>
              <w:t>团队成员</w:t>
            </w:r>
            <w:r>
              <w:rPr>
                <w:rFonts w:ascii="Times New Roman" w:hAnsi="Times New Roman" w:eastAsia="宋体" w:cs="Times New Roman"/>
                <w:kern w:val="0"/>
                <w:sz w:val="24"/>
                <w:lang w:bidi="ar"/>
              </w:rPr>
              <w:t>具有环境、化学相关专业高级及以上职称的，每人得1分，满分</w:t>
            </w:r>
            <w:r>
              <w:rPr>
                <w:rFonts w:hint="default" w:ascii="Times New Roman" w:hAnsi="Times New Roman" w:eastAsia="宋体" w:cs="Times New Roman"/>
                <w:kern w:val="0"/>
                <w:sz w:val="24"/>
                <w:lang w:bidi="ar"/>
              </w:rPr>
              <w:t>5</w:t>
            </w:r>
            <w:r>
              <w:rPr>
                <w:rFonts w:ascii="Times New Roman" w:hAnsi="Times New Roman" w:eastAsia="宋体" w:cs="Times New Roman"/>
                <w:kern w:val="0"/>
                <w:sz w:val="24"/>
                <w:lang w:bidi="ar"/>
              </w:rPr>
              <w:t>分。需提供职称证书复印件。</w:t>
            </w:r>
          </w:p>
        </w:tc>
        <w:tc>
          <w:tcPr>
            <w:tcW w:w="1245"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kern w:val="0"/>
                <w:sz w:val="23"/>
                <w:szCs w:val="23"/>
                <w:lang w:bidi="ar"/>
              </w:rPr>
            </w:pPr>
          </w:p>
        </w:tc>
      </w:tr>
      <w:tr>
        <w:tblPrEx>
          <w:tblCellMar>
            <w:top w:w="0" w:type="dxa"/>
            <w:left w:w="108" w:type="dxa"/>
            <w:bottom w:w="0" w:type="dxa"/>
            <w:right w:w="108" w:type="dxa"/>
          </w:tblCellMar>
        </w:tblPrEx>
        <w:trPr>
          <w:trHeight w:val="1680" w:hRule="atLeast"/>
        </w:trPr>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0"/>
                <w:sz w:val="24"/>
                <w:szCs w:val="24"/>
                <w:lang w:bidi="ar"/>
              </w:rPr>
              <w:t>3</w:t>
            </w:r>
          </w:p>
        </w:tc>
        <w:tc>
          <w:tcPr>
            <w:tcW w:w="24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sz w:val="24"/>
                <w:szCs w:val="24"/>
              </w:rPr>
            </w:pPr>
            <w:r>
              <w:rPr>
                <w:rStyle w:val="26"/>
                <w:rFonts w:hint="default" w:ascii="Times New Roman" w:hAnsi="Times New Roman" w:eastAsia="宋体" w:cs="Times New Roman"/>
                <w:sz w:val="24"/>
                <w:szCs w:val="24"/>
                <w:lang w:bidi="ar"/>
              </w:rPr>
              <w:t>质量保证与时效性</w:t>
            </w:r>
          </w:p>
        </w:tc>
        <w:tc>
          <w:tcPr>
            <w:tcW w:w="4290" w:type="dxa"/>
            <w:tcBorders>
              <w:top w:val="single" w:color="000000" w:sz="4" w:space="0"/>
              <w:left w:val="single" w:color="000000" w:sz="4" w:space="0"/>
              <w:bottom w:val="single" w:color="000000" w:sz="4" w:space="0"/>
              <w:right w:val="single" w:color="000000" w:sz="4" w:space="0"/>
            </w:tcBorders>
            <w:vAlign w:val="center"/>
          </w:tcPr>
          <w:p>
            <w:pPr>
              <w:pStyle w:val="8"/>
              <w:spacing w:beforeAutospacing="0" w:afterAutospacing="0"/>
            </w:pPr>
            <w:r>
              <w:rPr>
                <w:rFonts w:hint="default" w:ascii="Times New Roman" w:hAnsi="Times New Roman" w:eastAsia="宋体" w:cs="Times New Roman"/>
                <w:b/>
                <w:bCs/>
                <w:color w:val="000000"/>
                <w:kern w:val="0"/>
                <w:sz w:val="24"/>
                <w:szCs w:val="24"/>
                <w:lang w:bidi="ar"/>
              </w:rPr>
              <w:t xml:space="preserve">1. </w:t>
            </w:r>
            <w:r>
              <w:rPr>
                <w:rStyle w:val="27"/>
                <w:rFonts w:hint="default" w:ascii="Times New Roman" w:hAnsi="Times New Roman" w:eastAsia="宋体" w:cs="Times New Roman"/>
                <w:b/>
                <w:bCs/>
                <w:sz w:val="24"/>
                <w:szCs w:val="24"/>
                <w:lang w:bidi="ar"/>
              </w:rPr>
              <w:t>质量保证措施：</w:t>
            </w:r>
            <w:r>
              <w:rPr>
                <w:rFonts w:hint="default" w:ascii="Times New Roman" w:hAnsi="Times New Roman" w:eastAsia="宋体" w:cs="Times New Roman"/>
                <w:b/>
                <w:bCs/>
                <w:color w:val="000000"/>
                <w:kern w:val="0"/>
                <w:sz w:val="24"/>
                <w:szCs w:val="24"/>
                <w:lang w:bidi="ar"/>
              </w:rPr>
              <w:t xml:space="preserve"> </w:t>
            </w:r>
            <w:r>
              <w:rPr>
                <w:rStyle w:val="27"/>
                <w:rFonts w:hint="default" w:ascii="Times New Roman" w:hAnsi="Times New Roman" w:eastAsia="宋体" w:cs="Times New Roman"/>
                <w:sz w:val="24"/>
                <w:szCs w:val="24"/>
                <w:lang w:bidi="ar"/>
              </w:rPr>
              <w:t>提供完整的实验室质量控制计划，包括采样、运输、分析、数据审核全过程的质量控制措施（如平行样、标样、加标回收等），措施具体可行。</w:t>
            </w:r>
          </w:p>
          <w:p>
            <w:pPr>
              <w:pStyle w:val="8"/>
              <w:widowControl w:val="0"/>
              <w:spacing w:before="0" w:afterAutospacing="0" w:line="440" w:lineRule="exact"/>
              <w:ind w:firstLine="482" w:firstLineChars="200"/>
              <w:rPr>
                <w:rFonts w:hint="default" w:ascii="Times New Roman" w:hAnsi="Times New Roman" w:eastAsia="宋体" w:cs="Times New Roman"/>
              </w:rPr>
            </w:pPr>
            <w:r>
              <w:rPr>
                <w:rStyle w:val="13"/>
                <w:rFonts w:hint="default" w:ascii="Times New Roman" w:hAnsi="Times New Roman" w:eastAsia="宋体" w:cs="Times New Roman"/>
                <w:b/>
                <w:bCs/>
                <w:i w:val="0"/>
                <w:iCs w:val="0"/>
                <w:caps w:val="0"/>
                <w:color w:val="0F1115"/>
                <w:spacing w:val="0"/>
                <w:sz w:val="24"/>
                <w:szCs w:val="24"/>
                <w:shd w:val="clear" w:fill="FFFFFF"/>
              </w:rPr>
              <w:t>优秀（5分）</w:t>
            </w:r>
            <w:r>
              <w:rPr>
                <w:rFonts w:hint="default" w:ascii="Times New Roman" w:hAnsi="Times New Roman" w:eastAsia="宋体" w:cs="Times New Roman"/>
                <w:i w:val="0"/>
                <w:iCs w:val="0"/>
                <w:caps w:val="0"/>
                <w:color w:val="0F1115"/>
                <w:spacing w:val="0"/>
                <w:sz w:val="24"/>
                <w:szCs w:val="24"/>
                <w:shd w:val="clear" w:fill="FFFFFF"/>
              </w:rPr>
              <w:t>：提供完整的实验室质量控制计划，覆盖采样、运输、分析、数据审核全过程；针对每个环节提出具体可行的质量控制措施，如平行样、标样、加标回收等，并明确实施方法、频率及要求；计划科学合理，可操作性强，能有效保证检测质量。</w:t>
            </w:r>
          </w:p>
          <w:p>
            <w:pPr>
              <w:pStyle w:val="8"/>
              <w:widowControl w:val="0"/>
              <w:spacing w:before="0" w:afterAutospacing="0" w:line="440" w:lineRule="exact"/>
              <w:ind w:firstLine="482" w:firstLineChars="200"/>
              <w:rPr>
                <w:rFonts w:hint="default" w:ascii="Times New Roman" w:hAnsi="Times New Roman" w:eastAsia="宋体" w:cs="Times New Roman"/>
              </w:rPr>
            </w:pPr>
            <w:r>
              <w:rPr>
                <w:rStyle w:val="13"/>
                <w:rFonts w:hint="default" w:ascii="Times New Roman" w:hAnsi="Times New Roman" w:eastAsia="宋体" w:cs="Times New Roman"/>
                <w:b/>
                <w:bCs/>
                <w:i w:val="0"/>
                <w:iCs w:val="0"/>
                <w:caps w:val="0"/>
                <w:color w:val="0F1115"/>
                <w:spacing w:val="0"/>
                <w:sz w:val="24"/>
                <w:szCs w:val="24"/>
                <w:shd w:val="clear" w:fill="FFFFFF"/>
              </w:rPr>
              <w:t>良好（3分）</w:t>
            </w:r>
            <w:r>
              <w:rPr>
                <w:rFonts w:hint="default" w:ascii="Times New Roman" w:hAnsi="Times New Roman" w:eastAsia="宋体" w:cs="Times New Roman"/>
                <w:i w:val="0"/>
                <w:iCs w:val="0"/>
                <w:caps w:val="0"/>
                <w:color w:val="0F1115"/>
                <w:spacing w:val="0"/>
                <w:sz w:val="24"/>
                <w:szCs w:val="24"/>
                <w:shd w:val="clear" w:fill="FFFFFF"/>
              </w:rPr>
              <w:t>：提供较完整的实验室质量控制计划，覆盖主要过程；质量控制措施基本可行，但部分环节措施不够具体或不够全面，如缺少某些关键控制手段或细节描述，整体尚可接受。</w:t>
            </w:r>
          </w:p>
          <w:p>
            <w:pPr>
              <w:pStyle w:val="8"/>
              <w:widowControl w:val="0"/>
              <w:spacing w:line="440" w:lineRule="exact"/>
              <w:ind w:firstLine="482" w:firstLineChars="200"/>
              <w:textAlignment w:val="auto"/>
              <w:rPr>
                <w:rFonts w:hint="default" w:ascii="Times New Roman" w:hAnsi="Times New Roman" w:eastAsia="宋体" w:cs="Times New Roman"/>
                <w:color w:val="000000"/>
                <w:sz w:val="24"/>
                <w:szCs w:val="24"/>
              </w:rPr>
            </w:pPr>
            <w:r>
              <w:rPr>
                <w:rStyle w:val="13"/>
                <w:rFonts w:hint="default" w:ascii="Times New Roman" w:hAnsi="Times New Roman" w:eastAsia="宋体" w:cs="Times New Roman"/>
                <w:b/>
                <w:bCs/>
                <w:i w:val="0"/>
                <w:iCs w:val="0"/>
                <w:caps w:val="0"/>
                <w:color w:val="0F1115"/>
                <w:spacing w:val="0"/>
                <w:sz w:val="24"/>
                <w:szCs w:val="24"/>
                <w:shd w:val="clear" w:fill="FFFFFF"/>
              </w:rPr>
              <w:t>一般（1分）</w:t>
            </w:r>
            <w:r>
              <w:rPr>
                <w:rFonts w:hint="default" w:ascii="Times New Roman" w:hAnsi="Times New Roman" w:eastAsia="宋体" w:cs="Times New Roman"/>
                <w:i w:val="0"/>
                <w:iCs w:val="0"/>
                <w:caps w:val="0"/>
                <w:color w:val="0F1115"/>
                <w:spacing w:val="0"/>
                <w:sz w:val="24"/>
                <w:szCs w:val="24"/>
                <w:shd w:val="clear" w:fill="FFFFFF"/>
              </w:rPr>
              <w:t>：提供实验室质量控制计划，但内容不完整，或措施不够具体，可行性较差，难以满足质量保证要求。</w:t>
            </w:r>
          </w:p>
        </w:tc>
        <w:tc>
          <w:tcPr>
            <w:tcW w:w="12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23"/>
                <w:szCs w:val="23"/>
              </w:rPr>
            </w:pPr>
            <w:r>
              <w:rPr>
                <w:rFonts w:ascii="Times New Roman" w:hAnsi="Times New Roman" w:eastAsia="宋体" w:cs="Times New Roman"/>
                <w:color w:val="000000"/>
                <w:kern w:val="0"/>
                <w:sz w:val="24"/>
                <w:szCs w:val="24"/>
                <w:lang w:bidi="ar"/>
              </w:rPr>
              <w:t>1</w:t>
            </w:r>
            <w:r>
              <w:rPr>
                <w:rFonts w:hint="default" w:ascii="Times New Roman" w:hAnsi="Times New Roman" w:eastAsia="宋体" w:cs="Times New Roman"/>
                <w:color w:val="000000"/>
                <w:kern w:val="0"/>
                <w:sz w:val="24"/>
                <w:szCs w:val="24"/>
                <w:lang w:bidi="ar"/>
              </w:rPr>
              <w:t>3</w:t>
            </w:r>
            <w:r>
              <w:rPr>
                <w:rFonts w:hint="default" w:ascii="Times New Roman" w:hAnsi="Times New Roman" w:eastAsia="宋体" w:cs="Times New Roman"/>
                <w:kern w:val="0"/>
                <w:sz w:val="24"/>
                <w:szCs w:val="24"/>
                <w:lang w:bidi="ar"/>
              </w:rPr>
              <w:t>分</w:t>
            </w:r>
          </w:p>
        </w:tc>
      </w:tr>
      <w:tr>
        <w:tblPrEx>
          <w:tblCellMar>
            <w:top w:w="0" w:type="dxa"/>
            <w:left w:w="108" w:type="dxa"/>
            <w:bottom w:w="0" w:type="dxa"/>
            <w:right w:w="108" w:type="dxa"/>
          </w:tblCellMar>
        </w:tblPrEx>
        <w:trPr>
          <w:trHeight w:val="147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szCs w:val="22"/>
              </w:rPr>
            </w:pPr>
          </w:p>
        </w:tc>
        <w:tc>
          <w:tcPr>
            <w:tcW w:w="24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szCs w:val="22"/>
              </w:rPr>
            </w:pPr>
          </w:p>
        </w:tc>
        <w:tc>
          <w:tcPr>
            <w:tcW w:w="429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ind w:firstLine="482" w:firstLineChars="200"/>
              <w:jc w:val="both"/>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b/>
                <w:bCs/>
                <w:color w:val="000000"/>
                <w:kern w:val="0"/>
                <w:sz w:val="24"/>
                <w:szCs w:val="24"/>
                <w:lang w:bidi="ar"/>
              </w:rPr>
              <w:t xml:space="preserve">2. </w:t>
            </w:r>
            <w:r>
              <w:rPr>
                <w:rStyle w:val="27"/>
                <w:rFonts w:hint="default" w:ascii="Times New Roman" w:hAnsi="Times New Roman" w:eastAsia="宋体" w:cs="Times New Roman"/>
                <w:b/>
                <w:bCs/>
                <w:sz w:val="24"/>
                <w:szCs w:val="24"/>
                <w:lang w:bidi="ar"/>
              </w:rPr>
              <w:t>报告交付时效：</w:t>
            </w:r>
            <w:r>
              <w:rPr>
                <w:rFonts w:hint="default" w:ascii="Times New Roman" w:hAnsi="Times New Roman" w:eastAsia="宋体" w:cs="Times New Roman"/>
                <w:color w:val="000000"/>
                <w:kern w:val="0"/>
                <w:sz w:val="24"/>
                <w:szCs w:val="24"/>
                <w:lang w:bidi="ar"/>
              </w:rPr>
              <w:t xml:space="preserve"> </w:t>
            </w:r>
            <w:r>
              <w:rPr>
                <w:rStyle w:val="27"/>
                <w:rFonts w:hint="default" w:ascii="Times New Roman" w:hAnsi="Times New Roman" w:eastAsia="宋体" w:cs="Times New Roman"/>
                <w:sz w:val="24"/>
                <w:szCs w:val="24"/>
                <w:lang w:bidi="ar"/>
              </w:rPr>
              <w:t>承诺在采样结束后工作日内出具正式检测报告。时限短且合理可行。最优承诺（如：废水</w:t>
            </w:r>
            <w:r>
              <w:rPr>
                <w:rFonts w:hint="default" w:ascii="Times New Roman" w:hAnsi="Times New Roman" w:eastAsia="宋体" w:cs="Times New Roman"/>
                <w:color w:val="000000"/>
                <w:kern w:val="0"/>
                <w:sz w:val="24"/>
                <w:szCs w:val="24"/>
                <w:lang w:bidi="ar"/>
              </w:rPr>
              <w:t>5</w:t>
            </w:r>
            <w:r>
              <w:rPr>
                <w:rStyle w:val="27"/>
                <w:rFonts w:hint="default" w:ascii="Times New Roman" w:hAnsi="Times New Roman" w:eastAsia="宋体" w:cs="Times New Roman"/>
                <w:sz w:val="24"/>
                <w:szCs w:val="24"/>
                <w:lang w:bidi="ar"/>
              </w:rPr>
              <w:t>日内，年度全面检测</w:t>
            </w:r>
            <w:r>
              <w:rPr>
                <w:rFonts w:hint="default" w:ascii="Times New Roman" w:hAnsi="Times New Roman" w:eastAsia="宋体" w:cs="Times New Roman"/>
                <w:color w:val="000000"/>
                <w:kern w:val="0"/>
                <w:sz w:val="24"/>
                <w:szCs w:val="24"/>
                <w:lang w:bidi="ar"/>
              </w:rPr>
              <w:t>10</w:t>
            </w:r>
            <w:r>
              <w:rPr>
                <w:rStyle w:val="27"/>
                <w:rFonts w:hint="default" w:ascii="Times New Roman" w:hAnsi="Times New Roman" w:eastAsia="宋体" w:cs="Times New Roman"/>
                <w:sz w:val="24"/>
                <w:szCs w:val="24"/>
                <w:lang w:bidi="ar"/>
              </w:rPr>
              <w:t>日内）得</w:t>
            </w:r>
            <w:r>
              <w:rPr>
                <w:rFonts w:hint="default" w:ascii="Times New Roman" w:hAnsi="Times New Roman" w:eastAsia="宋体" w:cs="Times New Roman"/>
                <w:color w:val="000000"/>
                <w:kern w:val="0"/>
                <w:sz w:val="24"/>
                <w:szCs w:val="24"/>
                <w:lang w:bidi="ar"/>
              </w:rPr>
              <w:t>5</w:t>
            </w:r>
            <w:r>
              <w:rPr>
                <w:rStyle w:val="27"/>
                <w:rFonts w:hint="default" w:ascii="Times New Roman" w:hAnsi="Times New Roman" w:eastAsia="宋体" w:cs="Times New Roman"/>
                <w:sz w:val="24"/>
                <w:szCs w:val="24"/>
                <w:lang w:bidi="ar"/>
              </w:rPr>
              <w:t>分，次优得</w:t>
            </w:r>
            <w:r>
              <w:rPr>
                <w:rFonts w:hint="default" w:ascii="Times New Roman" w:hAnsi="Times New Roman" w:eastAsia="宋体" w:cs="Times New Roman"/>
                <w:color w:val="000000"/>
                <w:kern w:val="0"/>
                <w:sz w:val="24"/>
                <w:szCs w:val="24"/>
                <w:lang w:bidi="ar"/>
              </w:rPr>
              <w:t>3</w:t>
            </w:r>
            <w:r>
              <w:rPr>
                <w:rStyle w:val="27"/>
                <w:rFonts w:hint="default" w:ascii="Times New Roman" w:hAnsi="Times New Roman" w:eastAsia="宋体" w:cs="Times New Roman"/>
                <w:sz w:val="24"/>
                <w:szCs w:val="24"/>
                <w:lang w:bidi="ar"/>
              </w:rPr>
              <w:t>分，一般得</w:t>
            </w:r>
            <w:r>
              <w:rPr>
                <w:rFonts w:hint="default" w:ascii="Times New Roman" w:hAnsi="Times New Roman" w:eastAsia="宋体" w:cs="Times New Roman"/>
                <w:color w:val="000000"/>
                <w:kern w:val="0"/>
                <w:sz w:val="24"/>
                <w:szCs w:val="24"/>
                <w:lang w:bidi="ar"/>
              </w:rPr>
              <w:t>1</w:t>
            </w:r>
            <w:r>
              <w:rPr>
                <w:rStyle w:val="27"/>
                <w:rFonts w:hint="default" w:ascii="Times New Roman" w:hAnsi="Times New Roman" w:eastAsia="宋体" w:cs="Times New Roman"/>
                <w:sz w:val="24"/>
                <w:szCs w:val="24"/>
                <w:lang w:bidi="ar"/>
              </w:rPr>
              <w:t>分，未承诺不得分。</w:t>
            </w:r>
          </w:p>
        </w:tc>
        <w:tc>
          <w:tcPr>
            <w:tcW w:w="12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3"/>
                <w:szCs w:val="23"/>
              </w:rPr>
            </w:pPr>
          </w:p>
        </w:tc>
      </w:tr>
      <w:tr>
        <w:tblPrEx>
          <w:tblCellMar>
            <w:top w:w="0" w:type="dxa"/>
            <w:left w:w="108" w:type="dxa"/>
            <w:bottom w:w="0" w:type="dxa"/>
            <w:right w:w="108" w:type="dxa"/>
          </w:tblCellMar>
        </w:tblPrEx>
        <w:trPr>
          <w:trHeight w:val="1170" w:hRule="atLeast"/>
        </w:trPr>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szCs w:val="22"/>
              </w:rPr>
            </w:pPr>
          </w:p>
        </w:tc>
        <w:tc>
          <w:tcPr>
            <w:tcW w:w="24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2"/>
                <w:szCs w:val="22"/>
              </w:rPr>
            </w:pPr>
          </w:p>
        </w:tc>
        <w:tc>
          <w:tcPr>
            <w:tcW w:w="429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ind w:firstLine="482" w:firstLineChars="200"/>
              <w:jc w:val="both"/>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b/>
                <w:bCs/>
                <w:color w:val="000000"/>
                <w:kern w:val="0"/>
                <w:sz w:val="24"/>
                <w:szCs w:val="24"/>
                <w:lang w:bidi="ar"/>
              </w:rPr>
              <w:t xml:space="preserve">3. </w:t>
            </w:r>
            <w:r>
              <w:rPr>
                <w:rStyle w:val="27"/>
                <w:rFonts w:hint="default" w:ascii="Times New Roman" w:hAnsi="Times New Roman" w:eastAsia="宋体" w:cs="Times New Roman"/>
                <w:b/>
                <w:bCs/>
                <w:sz w:val="24"/>
                <w:szCs w:val="24"/>
                <w:lang w:bidi="ar"/>
              </w:rPr>
              <w:t>应急响应机制：</w:t>
            </w:r>
            <w:r>
              <w:rPr>
                <w:rFonts w:hint="default" w:ascii="Times New Roman" w:hAnsi="Times New Roman" w:eastAsia="宋体" w:cs="Times New Roman"/>
                <w:b/>
                <w:bCs/>
                <w:color w:val="000000"/>
                <w:kern w:val="0"/>
                <w:sz w:val="24"/>
                <w:szCs w:val="24"/>
                <w:lang w:bidi="ar"/>
              </w:rPr>
              <w:t xml:space="preserve"> </w:t>
            </w:r>
            <w:r>
              <w:rPr>
                <w:rFonts w:hint="default" w:ascii="Times New Roman" w:hAnsi="Times New Roman" w:eastAsia="宋体" w:cs="Times New Roman"/>
                <w:bCs/>
                <w:spacing w:val="10"/>
                <w:sz w:val="24"/>
              </w:rPr>
              <w:t>为满足项目维护便利性、方便沟通交流和应急处理，供应商承诺在接到采购人通知后≤2小时响应服务并到达现场的得3分；2小时＜响应服务并到达现场时间≤3小时的得2分，3小时＜响应服务并到达现场时间≤4小时的得1分，响应服务并到达现场时间＞4小时的不得分。</w:t>
            </w:r>
          </w:p>
        </w:tc>
        <w:tc>
          <w:tcPr>
            <w:tcW w:w="12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000000"/>
                <w:sz w:val="23"/>
                <w:szCs w:val="23"/>
              </w:rPr>
            </w:pPr>
          </w:p>
        </w:tc>
      </w:tr>
      <w:tr>
        <w:tblPrEx>
          <w:tblCellMar>
            <w:top w:w="0" w:type="dxa"/>
            <w:left w:w="108" w:type="dxa"/>
            <w:bottom w:w="0" w:type="dxa"/>
            <w:right w:w="108" w:type="dxa"/>
          </w:tblCellMar>
        </w:tblPrEx>
        <w:trPr>
          <w:trHeight w:val="131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4</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22"/>
                <w:szCs w:val="22"/>
              </w:rPr>
            </w:pPr>
            <w:r>
              <w:rPr>
                <w:rFonts w:ascii="宋体" w:hAnsi="宋体" w:eastAsia="宋体" w:cs="宋体"/>
                <w:kern w:val="0"/>
                <w:sz w:val="24"/>
                <w:lang w:bidi="ar"/>
              </w:rPr>
              <w:t>交通工具情况</w:t>
            </w:r>
            <w:r>
              <w:rPr>
                <w:rFonts w:hint="eastAsia" w:ascii="宋体" w:hAnsi="宋体" w:eastAsia="宋体" w:cs="宋体"/>
                <w:kern w:val="0"/>
                <w:sz w:val="24"/>
                <w:lang w:bidi="ar"/>
              </w:rPr>
              <w:t>保障</w:t>
            </w:r>
          </w:p>
        </w:tc>
        <w:tc>
          <w:tcPr>
            <w:tcW w:w="429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ind w:firstLine="482" w:firstLineChars="200"/>
              <w:jc w:val="both"/>
              <w:textAlignment w:val="center"/>
              <w:rPr>
                <w:rFonts w:hint="default" w:ascii="Times New Roman" w:hAnsi="Times New Roman" w:eastAsia="宋体" w:cs="Times New Roman"/>
                <w:color w:val="000000"/>
                <w:sz w:val="24"/>
                <w:szCs w:val="24"/>
              </w:rPr>
            </w:pPr>
            <w:bookmarkStart w:id="1" w:name="_GoBack"/>
            <w:r>
              <w:rPr>
                <w:rFonts w:hint="default" w:ascii="Times New Roman" w:hAnsi="Times New Roman" w:eastAsia="宋体" w:cs="Times New Roman"/>
                <w:b/>
                <w:bCs/>
                <w:color w:val="000000"/>
                <w:kern w:val="0"/>
                <w:sz w:val="24"/>
                <w:szCs w:val="24"/>
                <w:lang w:bidi="ar"/>
              </w:rPr>
              <w:t xml:space="preserve">1. </w:t>
            </w:r>
            <w:r>
              <w:rPr>
                <w:rFonts w:hint="default" w:ascii="Times New Roman" w:hAnsi="Times New Roman" w:eastAsia="宋体" w:cs="Times New Roman"/>
                <w:b/>
                <w:bCs/>
                <w:kern w:val="0"/>
                <w:sz w:val="24"/>
                <w:lang w:bidi="ar"/>
              </w:rPr>
              <w:t>服务车辆</w:t>
            </w:r>
            <w:r>
              <w:rPr>
                <w:rStyle w:val="27"/>
                <w:rFonts w:hint="default" w:ascii="Times New Roman" w:hAnsi="Times New Roman" w:eastAsia="宋体" w:cs="Times New Roman"/>
                <w:b/>
                <w:bCs/>
                <w:sz w:val="24"/>
                <w:szCs w:val="24"/>
                <w:lang w:bidi="ar"/>
              </w:rPr>
              <w:t>：</w:t>
            </w:r>
            <w:bookmarkEnd w:id="1"/>
            <w:r>
              <w:rPr>
                <w:rFonts w:ascii="Times New Roman" w:hAnsi="Times New Roman" w:eastAsia="宋体" w:cs="Times New Roman"/>
                <w:kern w:val="0"/>
                <w:sz w:val="24"/>
                <w:lang w:bidi="ar"/>
              </w:rPr>
              <w:t>投标人</w:t>
            </w:r>
            <w:r>
              <w:rPr>
                <w:rFonts w:hint="default" w:ascii="Times New Roman" w:hAnsi="Times New Roman" w:eastAsia="宋体" w:cs="Times New Roman"/>
                <w:kern w:val="0"/>
                <w:sz w:val="24"/>
                <w:lang w:bidi="ar"/>
              </w:rPr>
              <w:t>承诺</w:t>
            </w:r>
            <w:r>
              <w:rPr>
                <w:rFonts w:ascii="Times New Roman" w:hAnsi="Times New Roman" w:eastAsia="宋体" w:cs="Times New Roman"/>
                <w:kern w:val="0"/>
                <w:sz w:val="24"/>
                <w:lang w:bidi="ar"/>
              </w:rPr>
              <w:t>具有保障本项目实施的交通工具或在投标文件提交截止时间前已租赁保障项目实施的交通工具得</w:t>
            </w:r>
            <w:r>
              <w:rPr>
                <w:rFonts w:hint="default" w:ascii="Times New Roman" w:hAnsi="Times New Roman" w:eastAsia="宋体" w:cs="Times New Roman"/>
                <w:kern w:val="0"/>
                <w:sz w:val="24"/>
                <w:lang w:bidi="ar"/>
              </w:rPr>
              <w:t>2</w:t>
            </w:r>
            <w:r>
              <w:rPr>
                <w:rFonts w:ascii="Times New Roman" w:hAnsi="Times New Roman" w:eastAsia="宋体" w:cs="Times New Roman"/>
                <w:kern w:val="0"/>
                <w:sz w:val="24"/>
                <w:lang w:bidi="ar"/>
              </w:rPr>
              <w:t>分，承诺中标后及时租赁的得1分</w:t>
            </w:r>
            <w:r>
              <w:rPr>
                <w:rFonts w:hint="default" w:ascii="Times New Roman" w:hAnsi="Times New Roman" w:eastAsia="宋体" w:cs="Times New Roman"/>
                <w:kern w:val="0"/>
                <w:sz w:val="24"/>
                <w:lang w:bidi="ar"/>
              </w:rPr>
              <w:t>。</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 w:val="23"/>
                <w:szCs w:val="23"/>
              </w:rPr>
            </w:pPr>
            <w:r>
              <w:rPr>
                <w:rFonts w:hint="default" w:ascii="Times New Roman" w:hAnsi="Times New Roman" w:eastAsia="宋体" w:cs="Times New Roman"/>
                <w:color w:val="000000"/>
                <w:kern w:val="0"/>
                <w:sz w:val="24"/>
                <w:szCs w:val="24"/>
                <w:lang w:bidi="ar"/>
              </w:rPr>
              <w:t>2</w:t>
            </w:r>
            <w:r>
              <w:rPr>
                <w:rFonts w:hint="default" w:ascii="Times New Roman" w:hAnsi="Times New Roman" w:eastAsia="宋体" w:cs="Times New Roman"/>
                <w:kern w:val="0"/>
                <w:sz w:val="24"/>
                <w:szCs w:val="24"/>
                <w:lang w:bidi="ar"/>
              </w:rPr>
              <w:t>分</w:t>
            </w:r>
          </w:p>
        </w:tc>
      </w:tr>
      <w:tr>
        <w:tblPrEx>
          <w:tblCellMar>
            <w:top w:w="0" w:type="dxa"/>
            <w:left w:w="108" w:type="dxa"/>
            <w:bottom w:w="0" w:type="dxa"/>
            <w:right w:w="108" w:type="dxa"/>
          </w:tblCellMar>
        </w:tblPrEx>
        <w:trPr>
          <w:trHeight w:val="405" w:hRule="atLeast"/>
        </w:trPr>
        <w:tc>
          <w:tcPr>
            <w:tcW w:w="9075"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bCs/>
                <w:color w:val="000000"/>
                <w:sz w:val="32"/>
                <w:szCs w:val="32"/>
              </w:rPr>
            </w:pPr>
            <w:r>
              <w:rPr>
                <w:rFonts w:hint="eastAsia" w:ascii="仿宋_GB2312" w:hAnsi="宋体" w:eastAsia="仿宋_GB2312" w:cs="仿宋_GB2312"/>
                <w:b/>
                <w:bCs/>
                <w:color w:val="000000"/>
                <w:kern w:val="0"/>
                <w:sz w:val="32"/>
                <w:szCs w:val="32"/>
                <w:lang w:bidi="ar"/>
              </w:rPr>
              <w:t>三、</w:t>
            </w:r>
            <w:r>
              <w:rPr>
                <w:rStyle w:val="28"/>
                <w:rFonts w:eastAsia="仿宋_GB2312"/>
                <w:lang w:bidi="ar"/>
              </w:rPr>
              <w:t xml:space="preserve"> </w:t>
            </w:r>
            <w:r>
              <w:rPr>
                <w:rStyle w:val="29"/>
                <w:rFonts w:hint="default" w:hAnsi="宋体"/>
                <w:lang w:bidi="ar"/>
              </w:rPr>
              <w:t>价格部分（</w:t>
            </w:r>
            <w:r>
              <w:rPr>
                <w:rStyle w:val="29"/>
                <w:rFonts w:hAnsi="宋体"/>
                <w:lang w:bidi="ar"/>
              </w:rPr>
              <w:t>15</w:t>
            </w:r>
            <w:r>
              <w:rPr>
                <w:rStyle w:val="29"/>
                <w:rFonts w:hint="default" w:hAnsi="宋体"/>
                <w:lang w:bidi="ar"/>
              </w:rPr>
              <w:t>分）</w:t>
            </w:r>
          </w:p>
        </w:tc>
      </w:tr>
    </w:tbl>
    <w:p>
      <w:pPr>
        <w:widowControl/>
        <w:jc w:val="left"/>
      </w:pPr>
    </w:p>
    <w:p>
      <w:pPr>
        <w:rPr>
          <w:b/>
          <w:sz w:val="48"/>
          <w:szCs w:val="48"/>
        </w:rPr>
      </w:pPr>
      <w:r>
        <w:rPr>
          <w:rFonts w:hint="eastAsia"/>
          <w:b/>
          <w:sz w:val="48"/>
          <w:szCs w:val="48"/>
        </w:rPr>
        <w:br w:type="page"/>
      </w:r>
    </w:p>
    <w:p>
      <w:pPr>
        <w:jc w:val="center"/>
        <w:rPr>
          <w:b/>
          <w:sz w:val="48"/>
          <w:szCs w:val="48"/>
        </w:rPr>
      </w:pPr>
      <w:r>
        <w:rPr>
          <w:rFonts w:hint="eastAsia"/>
          <w:b/>
          <w:sz w:val="48"/>
          <w:szCs w:val="48"/>
        </w:rPr>
        <w:t>检测</w:t>
      </w:r>
      <w:r>
        <w:rPr>
          <w:b/>
          <w:sz w:val="48"/>
          <w:szCs w:val="48"/>
        </w:rPr>
        <w:t>费</w:t>
      </w:r>
      <w:r>
        <w:rPr>
          <w:rFonts w:hint="eastAsia"/>
          <w:b/>
          <w:sz w:val="48"/>
          <w:szCs w:val="48"/>
        </w:rPr>
        <w:t>报价单</w:t>
      </w:r>
    </w:p>
    <w:p>
      <w:pPr>
        <w:jc w:val="center"/>
        <w:rPr>
          <w:b/>
          <w:sz w:val="48"/>
          <w:szCs w:val="48"/>
        </w:rPr>
      </w:pPr>
    </w:p>
    <w:tbl>
      <w:tblPr>
        <w:tblStyle w:val="11"/>
        <w:tblW w:w="84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2432"/>
        <w:gridCol w:w="1106"/>
        <w:gridCol w:w="1030"/>
        <w:gridCol w:w="813"/>
        <w:gridCol w:w="1134"/>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15" w:type="dxa"/>
            <w:vAlign w:val="center"/>
          </w:tcPr>
          <w:p>
            <w:pPr>
              <w:jc w:val="center"/>
            </w:pPr>
            <w:r>
              <w:rPr>
                <w:rFonts w:hint="eastAsia"/>
              </w:rPr>
              <w:t>序号</w:t>
            </w:r>
          </w:p>
        </w:tc>
        <w:tc>
          <w:tcPr>
            <w:tcW w:w="2432" w:type="dxa"/>
            <w:vAlign w:val="center"/>
          </w:tcPr>
          <w:p>
            <w:pPr>
              <w:jc w:val="center"/>
            </w:pPr>
            <w:r>
              <w:rPr>
                <w:rFonts w:hint="eastAsia"/>
              </w:rPr>
              <w:t>项目名称</w:t>
            </w:r>
          </w:p>
        </w:tc>
        <w:tc>
          <w:tcPr>
            <w:tcW w:w="1106" w:type="dxa"/>
            <w:vAlign w:val="center"/>
          </w:tcPr>
          <w:p>
            <w:pPr>
              <w:jc w:val="center"/>
            </w:pPr>
            <w:r>
              <w:rPr>
                <w:rFonts w:hint="eastAsia"/>
              </w:rPr>
              <w:t>项目内容</w:t>
            </w:r>
          </w:p>
        </w:tc>
        <w:tc>
          <w:tcPr>
            <w:tcW w:w="1030" w:type="dxa"/>
            <w:vAlign w:val="center"/>
          </w:tcPr>
          <w:p>
            <w:pPr>
              <w:jc w:val="center"/>
            </w:pPr>
            <w:r>
              <w:rPr>
                <w:rFonts w:hint="eastAsia"/>
              </w:rPr>
              <w:t>单位</w:t>
            </w:r>
          </w:p>
        </w:tc>
        <w:tc>
          <w:tcPr>
            <w:tcW w:w="813" w:type="dxa"/>
            <w:vAlign w:val="center"/>
          </w:tcPr>
          <w:p>
            <w:pPr>
              <w:jc w:val="center"/>
            </w:pPr>
            <w:r>
              <w:rPr>
                <w:rFonts w:hint="eastAsia"/>
              </w:rPr>
              <w:t>数量</w:t>
            </w:r>
          </w:p>
        </w:tc>
        <w:tc>
          <w:tcPr>
            <w:tcW w:w="1134" w:type="dxa"/>
            <w:vAlign w:val="center"/>
          </w:tcPr>
          <w:p>
            <w:pPr>
              <w:jc w:val="center"/>
            </w:pPr>
            <w:r>
              <w:rPr>
                <w:rFonts w:hint="eastAsia"/>
              </w:rPr>
              <w:t>单价</w:t>
            </w:r>
          </w:p>
        </w:tc>
        <w:tc>
          <w:tcPr>
            <w:tcW w:w="1258" w:type="dxa"/>
            <w:vAlign w:val="center"/>
          </w:tcPr>
          <w:p>
            <w:pPr>
              <w:jc w:val="center"/>
            </w:pPr>
            <w:r>
              <w:rPr>
                <w:rFonts w:hint="eastAsia"/>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15" w:type="dxa"/>
            <w:vAlign w:val="center"/>
          </w:tcPr>
          <w:p>
            <w:pPr>
              <w:jc w:val="center"/>
            </w:pPr>
            <w:r>
              <w:rPr>
                <w:rFonts w:hint="eastAsia"/>
              </w:rPr>
              <w:t>1</w:t>
            </w:r>
          </w:p>
        </w:tc>
        <w:tc>
          <w:tcPr>
            <w:tcW w:w="2432" w:type="dxa"/>
            <w:vAlign w:val="center"/>
          </w:tcPr>
          <w:p>
            <w:r>
              <w:rPr>
                <w:rFonts w:hint="eastAsia"/>
              </w:rPr>
              <w:t>实验废水检测</w:t>
            </w:r>
          </w:p>
        </w:tc>
        <w:tc>
          <w:tcPr>
            <w:tcW w:w="1106" w:type="dxa"/>
            <w:vAlign w:val="center"/>
          </w:tcPr>
          <w:p>
            <w:pPr>
              <w:jc w:val="center"/>
            </w:pPr>
          </w:p>
        </w:tc>
        <w:tc>
          <w:tcPr>
            <w:tcW w:w="1030" w:type="dxa"/>
            <w:vAlign w:val="center"/>
          </w:tcPr>
          <w:p>
            <w:pPr>
              <w:jc w:val="center"/>
            </w:pPr>
          </w:p>
        </w:tc>
        <w:tc>
          <w:tcPr>
            <w:tcW w:w="813" w:type="dxa"/>
            <w:vAlign w:val="center"/>
          </w:tcPr>
          <w:p>
            <w:pPr>
              <w:jc w:val="center"/>
            </w:pPr>
          </w:p>
        </w:tc>
        <w:tc>
          <w:tcPr>
            <w:tcW w:w="1134" w:type="dxa"/>
            <w:vAlign w:val="center"/>
          </w:tcPr>
          <w:p>
            <w:pPr>
              <w:jc w:val="center"/>
            </w:pPr>
          </w:p>
        </w:tc>
        <w:tc>
          <w:tcPr>
            <w:tcW w:w="125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15" w:type="dxa"/>
            <w:vAlign w:val="center"/>
          </w:tcPr>
          <w:p>
            <w:pPr>
              <w:jc w:val="center"/>
            </w:pPr>
            <w:r>
              <w:rPr>
                <w:rFonts w:hint="eastAsia"/>
              </w:rPr>
              <w:t>2</w:t>
            </w:r>
          </w:p>
        </w:tc>
        <w:tc>
          <w:tcPr>
            <w:tcW w:w="2432" w:type="dxa"/>
            <w:vAlign w:val="center"/>
          </w:tcPr>
          <w:p>
            <w:r>
              <w:rPr>
                <w:rFonts w:hint="eastAsia"/>
              </w:rPr>
              <w:t>园区</w:t>
            </w:r>
            <w:r>
              <w:t>废水</w:t>
            </w:r>
            <w:r>
              <w:rPr>
                <w:rFonts w:hint="eastAsia"/>
              </w:rPr>
              <w:t xml:space="preserve">检测 </w:t>
            </w:r>
          </w:p>
        </w:tc>
        <w:tc>
          <w:tcPr>
            <w:tcW w:w="1106" w:type="dxa"/>
            <w:vAlign w:val="center"/>
          </w:tcPr>
          <w:p>
            <w:pPr>
              <w:jc w:val="center"/>
            </w:pPr>
          </w:p>
        </w:tc>
        <w:tc>
          <w:tcPr>
            <w:tcW w:w="1030" w:type="dxa"/>
            <w:vAlign w:val="center"/>
          </w:tcPr>
          <w:p>
            <w:pPr>
              <w:jc w:val="center"/>
            </w:pPr>
          </w:p>
        </w:tc>
        <w:tc>
          <w:tcPr>
            <w:tcW w:w="813" w:type="dxa"/>
            <w:vAlign w:val="center"/>
          </w:tcPr>
          <w:p>
            <w:pPr>
              <w:jc w:val="center"/>
            </w:pPr>
          </w:p>
        </w:tc>
        <w:tc>
          <w:tcPr>
            <w:tcW w:w="1134" w:type="dxa"/>
            <w:vAlign w:val="center"/>
          </w:tcPr>
          <w:p>
            <w:pPr>
              <w:jc w:val="center"/>
            </w:pPr>
          </w:p>
        </w:tc>
        <w:tc>
          <w:tcPr>
            <w:tcW w:w="125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15" w:type="dxa"/>
            <w:vAlign w:val="center"/>
          </w:tcPr>
          <w:p>
            <w:pPr>
              <w:jc w:val="center"/>
            </w:pPr>
            <w:r>
              <w:rPr>
                <w:rFonts w:hint="eastAsia"/>
              </w:rPr>
              <w:t>3</w:t>
            </w:r>
          </w:p>
        </w:tc>
        <w:tc>
          <w:tcPr>
            <w:tcW w:w="2432" w:type="dxa"/>
            <w:vAlign w:val="center"/>
          </w:tcPr>
          <w:p>
            <w:r>
              <w:rPr>
                <w:rFonts w:hint="eastAsia"/>
              </w:rPr>
              <w:t>园区</w:t>
            </w:r>
            <w:r>
              <w:t>废</w:t>
            </w:r>
            <w:r>
              <w:rPr>
                <w:rFonts w:hint="eastAsia"/>
              </w:rPr>
              <w:t xml:space="preserve">气检测 </w:t>
            </w:r>
          </w:p>
        </w:tc>
        <w:tc>
          <w:tcPr>
            <w:tcW w:w="1106" w:type="dxa"/>
            <w:vAlign w:val="center"/>
          </w:tcPr>
          <w:p>
            <w:pPr>
              <w:jc w:val="center"/>
            </w:pPr>
          </w:p>
        </w:tc>
        <w:tc>
          <w:tcPr>
            <w:tcW w:w="1030" w:type="dxa"/>
            <w:vAlign w:val="center"/>
          </w:tcPr>
          <w:p>
            <w:pPr>
              <w:jc w:val="center"/>
            </w:pPr>
          </w:p>
        </w:tc>
        <w:tc>
          <w:tcPr>
            <w:tcW w:w="813" w:type="dxa"/>
            <w:vAlign w:val="center"/>
          </w:tcPr>
          <w:p>
            <w:pPr>
              <w:jc w:val="center"/>
            </w:pPr>
          </w:p>
        </w:tc>
        <w:tc>
          <w:tcPr>
            <w:tcW w:w="1134" w:type="dxa"/>
            <w:vAlign w:val="center"/>
          </w:tcPr>
          <w:p>
            <w:pPr>
              <w:jc w:val="center"/>
            </w:pPr>
          </w:p>
        </w:tc>
        <w:tc>
          <w:tcPr>
            <w:tcW w:w="125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15" w:type="dxa"/>
            <w:vAlign w:val="center"/>
          </w:tcPr>
          <w:p>
            <w:pPr>
              <w:jc w:val="center"/>
            </w:pPr>
            <w:r>
              <w:rPr>
                <w:rFonts w:hint="eastAsia"/>
              </w:rPr>
              <w:t>4</w:t>
            </w:r>
          </w:p>
        </w:tc>
        <w:tc>
          <w:tcPr>
            <w:tcW w:w="2432" w:type="dxa"/>
            <w:vAlign w:val="center"/>
          </w:tcPr>
          <w:p>
            <w:r>
              <w:rPr>
                <w:rFonts w:hint="eastAsia"/>
              </w:rPr>
              <w:t>园区</w:t>
            </w:r>
            <w:r>
              <w:t>噪声</w:t>
            </w:r>
            <w:r>
              <w:rPr>
                <w:rFonts w:hint="eastAsia"/>
              </w:rPr>
              <w:t xml:space="preserve">检测 </w:t>
            </w:r>
          </w:p>
        </w:tc>
        <w:tc>
          <w:tcPr>
            <w:tcW w:w="1106" w:type="dxa"/>
            <w:vAlign w:val="center"/>
          </w:tcPr>
          <w:p>
            <w:pPr>
              <w:jc w:val="center"/>
            </w:pPr>
          </w:p>
        </w:tc>
        <w:tc>
          <w:tcPr>
            <w:tcW w:w="1030" w:type="dxa"/>
            <w:vAlign w:val="center"/>
          </w:tcPr>
          <w:p>
            <w:pPr>
              <w:jc w:val="center"/>
            </w:pPr>
          </w:p>
        </w:tc>
        <w:tc>
          <w:tcPr>
            <w:tcW w:w="813" w:type="dxa"/>
            <w:vAlign w:val="center"/>
          </w:tcPr>
          <w:p>
            <w:pPr>
              <w:jc w:val="center"/>
            </w:pPr>
          </w:p>
        </w:tc>
        <w:tc>
          <w:tcPr>
            <w:tcW w:w="1134" w:type="dxa"/>
            <w:vAlign w:val="center"/>
          </w:tcPr>
          <w:p>
            <w:pPr>
              <w:jc w:val="center"/>
            </w:pPr>
          </w:p>
        </w:tc>
        <w:tc>
          <w:tcPr>
            <w:tcW w:w="125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15" w:type="dxa"/>
            <w:vAlign w:val="center"/>
          </w:tcPr>
          <w:p>
            <w:pPr>
              <w:jc w:val="center"/>
            </w:pPr>
            <w:r>
              <w:rPr>
                <w:rFonts w:hint="eastAsia"/>
              </w:rPr>
              <w:t>5</w:t>
            </w:r>
          </w:p>
        </w:tc>
        <w:tc>
          <w:tcPr>
            <w:tcW w:w="2432" w:type="dxa"/>
            <w:vAlign w:val="center"/>
          </w:tcPr>
          <w:p>
            <w:r>
              <w:rPr>
                <w:rFonts w:hint="eastAsia"/>
              </w:rPr>
              <w:t>闽清厂区废气检测</w:t>
            </w:r>
          </w:p>
        </w:tc>
        <w:tc>
          <w:tcPr>
            <w:tcW w:w="1106" w:type="dxa"/>
            <w:vAlign w:val="center"/>
          </w:tcPr>
          <w:p>
            <w:pPr>
              <w:jc w:val="center"/>
            </w:pPr>
          </w:p>
        </w:tc>
        <w:tc>
          <w:tcPr>
            <w:tcW w:w="1030" w:type="dxa"/>
            <w:vAlign w:val="center"/>
          </w:tcPr>
          <w:p>
            <w:pPr>
              <w:jc w:val="center"/>
            </w:pPr>
          </w:p>
        </w:tc>
        <w:tc>
          <w:tcPr>
            <w:tcW w:w="813" w:type="dxa"/>
            <w:vAlign w:val="center"/>
          </w:tcPr>
          <w:p>
            <w:pPr>
              <w:jc w:val="center"/>
            </w:pPr>
          </w:p>
        </w:tc>
        <w:tc>
          <w:tcPr>
            <w:tcW w:w="1134" w:type="dxa"/>
            <w:vAlign w:val="center"/>
          </w:tcPr>
          <w:p>
            <w:pPr>
              <w:jc w:val="center"/>
            </w:pPr>
          </w:p>
        </w:tc>
        <w:tc>
          <w:tcPr>
            <w:tcW w:w="125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15" w:type="dxa"/>
            <w:vAlign w:val="center"/>
          </w:tcPr>
          <w:p>
            <w:pPr>
              <w:jc w:val="center"/>
            </w:pPr>
            <w:r>
              <w:rPr>
                <w:rFonts w:hint="eastAsia"/>
              </w:rPr>
              <w:t>6</w:t>
            </w:r>
          </w:p>
        </w:tc>
        <w:tc>
          <w:tcPr>
            <w:tcW w:w="2432" w:type="dxa"/>
            <w:vAlign w:val="center"/>
          </w:tcPr>
          <w:p>
            <w:r>
              <w:rPr>
                <w:rFonts w:hint="eastAsia"/>
              </w:rPr>
              <w:t>闽清厂区噪声检测</w:t>
            </w:r>
          </w:p>
        </w:tc>
        <w:tc>
          <w:tcPr>
            <w:tcW w:w="1106" w:type="dxa"/>
            <w:vAlign w:val="center"/>
          </w:tcPr>
          <w:p>
            <w:pPr>
              <w:jc w:val="center"/>
            </w:pPr>
          </w:p>
        </w:tc>
        <w:tc>
          <w:tcPr>
            <w:tcW w:w="1030" w:type="dxa"/>
            <w:vAlign w:val="center"/>
          </w:tcPr>
          <w:p>
            <w:pPr>
              <w:jc w:val="center"/>
            </w:pPr>
          </w:p>
        </w:tc>
        <w:tc>
          <w:tcPr>
            <w:tcW w:w="813" w:type="dxa"/>
            <w:vAlign w:val="center"/>
          </w:tcPr>
          <w:p>
            <w:pPr>
              <w:jc w:val="center"/>
            </w:pPr>
          </w:p>
        </w:tc>
        <w:tc>
          <w:tcPr>
            <w:tcW w:w="1134" w:type="dxa"/>
            <w:vAlign w:val="center"/>
          </w:tcPr>
          <w:p>
            <w:pPr>
              <w:jc w:val="center"/>
            </w:pPr>
          </w:p>
        </w:tc>
        <w:tc>
          <w:tcPr>
            <w:tcW w:w="125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15" w:type="dxa"/>
            <w:vAlign w:val="center"/>
          </w:tcPr>
          <w:p>
            <w:pPr>
              <w:jc w:val="center"/>
            </w:pPr>
          </w:p>
        </w:tc>
        <w:tc>
          <w:tcPr>
            <w:tcW w:w="2432" w:type="dxa"/>
            <w:vAlign w:val="center"/>
          </w:tcPr>
          <w:p/>
        </w:tc>
        <w:tc>
          <w:tcPr>
            <w:tcW w:w="1106" w:type="dxa"/>
            <w:vAlign w:val="center"/>
          </w:tcPr>
          <w:p>
            <w:pPr>
              <w:jc w:val="center"/>
            </w:pPr>
          </w:p>
        </w:tc>
        <w:tc>
          <w:tcPr>
            <w:tcW w:w="1030" w:type="dxa"/>
            <w:vAlign w:val="center"/>
          </w:tcPr>
          <w:p>
            <w:pPr>
              <w:jc w:val="center"/>
            </w:pPr>
          </w:p>
        </w:tc>
        <w:tc>
          <w:tcPr>
            <w:tcW w:w="813" w:type="dxa"/>
            <w:vAlign w:val="center"/>
          </w:tcPr>
          <w:p>
            <w:pPr>
              <w:jc w:val="center"/>
            </w:pPr>
          </w:p>
        </w:tc>
        <w:tc>
          <w:tcPr>
            <w:tcW w:w="1134" w:type="dxa"/>
            <w:vAlign w:val="center"/>
          </w:tcPr>
          <w:p>
            <w:pPr>
              <w:jc w:val="center"/>
            </w:pPr>
          </w:p>
        </w:tc>
        <w:tc>
          <w:tcPr>
            <w:tcW w:w="125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15" w:type="dxa"/>
            <w:vAlign w:val="center"/>
          </w:tcPr>
          <w:p>
            <w:pPr>
              <w:jc w:val="center"/>
            </w:pPr>
            <w:r>
              <w:rPr>
                <w:rFonts w:hint="eastAsia"/>
              </w:rPr>
              <w:t>合计</w:t>
            </w:r>
          </w:p>
        </w:tc>
        <w:tc>
          <w:tcPr>
            <w:tcW w:w="6515" w:type="dxa"/>
            <w:gridSpan w:val="5"/>
            <w:vAlign w:val="center"/>
          </w:tcPr>
          <w:p>
            <w:r>
              <w:rPr>
                <w:rFonts w:hint="eastAsia"/>
              </w:rPr>
              <w:t>大写：</w:t>
            </w:r>
          </w:p>
        </w:tc>
        <w:tc>
          <w:tcPr>
            <w:tcW w:w="1258" w:type="dxa"/>
            <w:vAlign w:val="center"/>
          </w:tcPr>
          <w:p>
            <w:pPr>
              <w:jc w:val="center"/>
            </w:pPr>
          </w:p>
        </w:tc>
      </w:tr>
    </w:tbl>
    <w:p>
      <w:pPr>
        <w:jc w:val="left"/>
      </w:pPr>
      <w:r>
        <w:rPr>
          <w:rFonts w:hint="eastAsia"/>
        </w:rPr>
        <w:t>备注：根据以下服务内容进行报价，以上报价应是含税费和差旅费等最终报价。本项目最高限价为：3.98万元，超过该报价为无效报价。</w:t>
      </w:r>
    </w:p>
    <w:p>
      <w:pPr>
        <w:jc w:val="left"/>
      </w:pPr>
      <w:r>
        <w:rPr>
          <w:rFonts w:hint="eastAsia"/>
        </w:rPr>
        <w:t>1.每季度一</w:t>
      </w:r>
      <w:r>
        <w:t>次对我院</w:t>
      </w:r>
      <w:r>
        <w:rPr>
          <w:rFonts w:hint="eastAsia"/>
        </w:rPr>
        <w:t>马尾总部</w:t>
      </w:r>
      <w:r>
        <w:t>进行实验</w:t>
      </w:r>
      <w:r>
        <w:rPr>
          <w:rFonts w:hint="eastAsia"/>
        </w:rPr>
        <w:t>废水（</w:t>
      </w:r>
      <w:r>
        <w:t>１个出水点）水质检测</w:t>
      </w:r>
      <w:r>
        <w:rPr>
          <w:rFonts w:hint="eastAsia"/>
        </w:rPr>
        <w:t>。</w:t>
      </w:r>
      <w:r>
        <w:t>检测</w:t>
      </w:r>
      <w:r>
        <w:rPr>
          <w:rFonts w:hint="eastAsia"/>
        </w:rPr>
        <w:t>项目：易沉固体、悬浮物、溶解性固体、动植物油、石油类、pH 值、五日生化需氧量、化学需氧量、氨氮、总氮、总磷、阴离子表面活性剂等）；</w:t>
      </w:r>
    </w:p>
    <w:p>
      <w:pPr>
        <w:pStyle w:val="2"/>
      </w:pPr>
      <w:r>
        <w:rPr>
          <w:rFonts w:hint="eastAsia" w:asciiTheme="minorHAnsi" w:hAnsiTheme="minorHAnsi"/>
        </w:rPr>
        <w:t>2．每年一次对马尾总部废水、废气（含怡山基地）、噪声检测（含怡山基地）。检测项目：无组织废气：非甲烷总烃、颗粒物、甲苯、氮氧化物、硫酸雾、氯化氢等；固定污染源废气：非甲烷总烃、甲苯（3根排气筒）；、氮氧化物、硫酸雾、氯化氢（2根排气筒）；食堂油烟（含总部和怡山基地）等；废水：pH值、化学需氧量、五日生化需氧量、悬浮物、氨氮、动植物油等；噪声：厂界噪声。 3.每年对闽清厂区进行固定污染源废气、无组织废气，噪声检测。检测项目：固定污染源废气（每年一次）：氮氧化物、二氧化硫、林格曼黑度、颗粒物、非甲烷总烃：厂界无组织废气（每年一次）：氮氧化物、二氧化硫、颗粒物、非甲烷总烃；工业窑炉周边无组织废气：颗粒物（每半年一次）、非甲烷总烃（每年一次）；厂界噪声（每季度一次）。</w:t>
      </w:r>
    </w:p>
    <w:p>
      <w:pPr>
        <w:jc w:val="left"/>
      </w:pPr>
      <w:r>
        <w:rPr>
          <w:rFonts w:hint="eastAsia"/>
        </w:rPr>
        <w:t>3.根据</w:t>
      </w:r>
      <w:r>
        <w:t>检测</w:t>
      </w:r>
      <w:r>
        <w:rPr>
          <w:rFonts w:hint="eastAsia"/>
        </w:rPr>
        <w:t>结果</w:t>
      </w:r>
      <w:r>
        <w:t>出据合法有效检测报告。</w:t>
      </w:r>
    </w:p>
    <w:p>
      <w:pPr>
        <w:pStyle w:val="2"/>
      </w:pPr>
      <w:r>
        <w:rPr>
          <w:rFonts w:hint="eastAsia"/>
        </w:rPr>
        <w:t>4.投标单位需具备以上所有指标的检测资质，不得对外分包。</w:t>
      </w:r>
    </w:p>
    <w:p>
      <w:pPr>
        <w:ind w:firstLine="4560" w:firstLineChars="1900"/>
        <w:rPr>
          <w:sz w:val="24"/>
        </w:rPr>
      </w:pPr>
    </w:p>
    <w:p>
      <w:pPr>
        <w:ind w:firstLine="4560" w:firstLineChars="1900"/>
        <w:rPr>
          <w:sz w:val="24"/>
        </w:rPr>
      </w:pPr>
    </w:p>
    <w:p>
      <w:pPr>
        <w:ind w:firstLine="4560" w:firstLineChars="1900"/>
        <w:rPr>
          <w:sz w:val="24"/>
        </w:rPr>
      </w:pPr>
    </w:p>
    <w:p>
      <w:pPr>
        <w:ind w:firstLine="4560" w:firstLineChars="1900"/>
        <w:rPr>
          <w:sz w:val="24"/>
        </w:rPr>
      </w:pPr>
    </w:p>
    <w:p>
      <w:pPr>
        <w:ind w:firstLine="4560" w:firstLineChars="1900"/>
        <w:rPr>
          <w:sz w:val="24"/>
        </w:rPr>
      </w:pPr>
      <w:r>
        <w:rPr>
          <w:rFonts w:hint="eastAsia"/>
          <w:sz w:val="24"/>
        </w:rPr>
        <w:t xml:space="preserve">报价方：（盖章） </w:t>
      </w:r>
    </w:p>
    <w:p>
      <w:pPr>
        <w:rPr>
          <w:sz w:val="24"/>
        </w:rPr>
      </w:pPr>
      <w:r>
        <w:rPr>
          <w:rFonts w:hint="eastAsia"/>
          <w:sz w:val="24"/>
        </w:rPr>
        <w:t xml:space="preserve">                                        </w:t>
      </w:r>
    </w:p>
    <w:p>
      <w:pPr>
        <w:ind w:firstLine="4560" w:firstLineChars="1900"/>
        <w:rPr>
          <w:sz w:val="24"/>
        </w:rPr>
      </w:pPr>
      <w:r>
        <w:rPr>
          <w:rFonts w:hint="eastAsia"/>
          <w:sz w:val="24"/>
        </w:rPr>
        <w:t>日期：</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pPr>
        <w:widowControl/>
        <w:jc w:val="left"/>
        <w:rPr>
          <w:b/>
          <w:sz w:val="32"/>
          <w:szCs w:val="32"/>
        </w:rPr>
      </w:pPr>
    </w:p>
    <w:p>
      <w:pPr>
        <w:rPr>
          <w:b/>
          <w:sz w:val="32"/>
          <w:szCs w:val="32"/>
        </w:rPr>
      </w:pPr>
      <w:r>
        <w:rPr>
          <w:rFonts w:hint="eastAsia"/>
          <w:b/>
          <w:sz w:val="32"/>
          <w:szCs w:val="32"/>
        </w:rPr>
        <w:t>备注：</w:t>
      </w:r>
    </w:p>
    <w:p>
      <w:pPr>
        <w:widowControl/>
        <w:spacing w:line="560" w:lineRule="exact"/>
        <w:ind w:firstLine="422" w:firstLineChars="200"/>
      </w:pPr>
      <w:r>
        <w:rPr>
          <w:b/>
          <w:bCs/>
        </w:rPr>
        <w:t>营业执照等证明文件复印件</w:t>
      </w:r>
      <w:r>
        <w:t>：</w:t>
      </w:r>
      <w:r>
        <w:rPr>
          <w:rFonts w:hint="eastAsia" w:ascii="宋体" w:hAnsi="宋体" w:cs="宋体"/>
        </w:rPr>
        <w:t>①</w:t>
      </w:r>
      <w: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widowControl/>
        <w:spacing w:line="560" w:lineRule="exact"/>
        <w:ind w:firstLine="422" w:firstLineChars="200"/>
      </w:pPr>
      <w:r>
        <w:rPr>
          <w:b/>
          <w:bCs/>
        </w:rPr>
        <w:t>单位授权书：</w:t>
      </w:r>
      <w:r>
        <w:rPr>
          <w:rFonts w:hint="eastAsia" w:ascii="宋体" w:hAnsi="宋体" w:cs="宋体"/>
        </w:rPr>
        <w:t>①</w:t>
      </w:r>
      <w:r>
        <w:t xml:space="preserve">投标人（自然人除外）：若投标人代表为单位授权的委托代理人，应提供本授权书；若投标人代表为单位负责人，应在此项下提交其身份证正反面复印件，可不提供本授权书。 </w:t>
      </w:r>
      <w:r>
        <w:rPr>
          <w:rFonts w:hint="eastAsia" w:ascii="宋体" w:hAnsi="宋体" w:cs="宋体"/>
        </w:rPr>
        <w:t>②</w:t>
      </w:r>
      <w:r>
        <w:t xml:space="preserve">投标人为自然人的，可不填写本授权书。 </w:t>
      </w:r>
    </w:p>
    <w:p>
      <w:pPr>
        <w:spacing w:line="560" w:lineRule="exact"/>
        <w:ind w:firstLine="422" w:firstLineChars="200"/>
      </w:pPr>
      <w:r>
        <w:rPr>
          <w:b/>
          <w:bCs/>
        </w:rPr>
        <w:t>财务状况报告：</w:t>
      </w:r>
      <w:r>
        <w:rPr>
          <w:rFonts w:hint="eastAsia" w:ascii="宋体" w:hAnsi="宋体" w:cs="宋体"/>
        </w:rPr>
        <w:t>①</w:t>
      </w:r>
      <w:r>
        <w:t>投标人提供的财务报告复印件（成立年限按照投标截止时间 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p>
      <w:pPr>
        <w:spacing w:line="560" w:lineRule="exact"/>
        <w:ind w:firstLine="422" w:firstLineChars="200"/>
      </w:pPr>
      <w:r>
        <w:rPr>
          <w:b/>
          <w:bCs/>
        </w:rPr>
        <w:t>信用记录查询结果：</w:t>
      </w:r>
      <w:r>
        <w:rPr>
          <w:rFonts w:hint="eastAsia" w:ascii="宋体" w:hAnsi="宋体" w:cs="宋体"/>
        </w:rPr>
        <w:t>①</w:t>
      </w:r>
      <w:r>
        <w:t xml:space="preserve">信用记录查询的截止时点：信用记录查询的截止时点为本项目投标截止当日。 </w:t>
      </w:r>
      <w:r>
        <w:rPr>
          <w:rFonts w:hint="eastAsia" w:ascii="宋体" w:hAnsi="宋体" w:cs="宋体"/>
        </w:rPr>
        <w:t>②</w:t>
      </w:r>
      <w:r>
        <w:t xml:space="preserve">信用记录查询渠道：信用中国 （www.creditchina.gov.cn）、中国政府采购网 （www.ccgp.gov.cn）。 </w:t>
      </w:r>
      <w:r>
        <w:rPr>
          <w:rFonts w:hint="eastAsia" w:ascii="宋体" w:hAnsi="宋体" w:cs="宋体"/>
        </w:rPr>
        <w:t>③</w:t>
      </w:r>
      <w:r>
        <w:t xml:space="preserve">信用记录的查询：由资格审查小组 通过上述网站查询并打印投标人的信用记录。 </w:t>
      </w:r>
      <w:r>
        <w:rPr>
          <w:rFonts w:hint="eastAsia" w:ascii="宋体" w:hAnsi="宋体" w:cs="宋体"/>
        </w:rPr>
        <w:t>④</w:t>
      </w:r>
      <w:r>
        <w:t>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widowControl/>
        <w:jc w:val="left"/>
      </w:pPr>
      <w:r>
        <w:rPr>
          <w:rFonts w:hint="eastAsia"/>
        </w:rPr>
        <w:t xml:space="preserve"> </w:t>
      </w:r>
    </w:p>
    <w:p>
      <w:pPr>
        <w:tabs>
          <w:tab w:val="left" w:pos="-1080"/>
          <w:tab w:val="left" w:pos="180"/>
          <w:tab w:val="left" w:pos="567"/>
          <w:tab w:val="left" w:pos="885"/>
          <w:tab w:val="left" w:pos="1080"/>
        </w:tabs>
        <w:snapToGrid w:val="0"/>
        <w:spacing w:line="400" w:lineRule="exact"/>
        <w:rPr>
          <w:rFonts w:ascii="Times New Roman" w:hAnsi="Times New Roman" w:cs="Times New Roman"/>
          <w:b/>
          <w:color w:val="000000"/>
          <w:szCs w:val="21"/>
        </w:rPr>
      </w:pPr>
      <w:r>
        <w:rPr>
          <w:rFonts w:ascii="Times New Roman" w:hAnsi="Times New Roman" w:cs="Times New Roman"/>
          <w:b/>
          <w:color w:val="000000"/>
          <w:szCs w:val="21"/>
        </w:rPr>
        <w:t>评分标准</w:t>
      </w:r>
    </w:p>
    <w:p>
      <w:pPr>
        <w:tabs>
          <w:tab w:val="left" w:pos="-1080"/>
          <w:tab w:val="left" w:pos="180"/>
          <w:tab w:val="left" w:pos="567"/>
          <w:tab w:val="left" w:pos="885"/>
          <w:tab w:val="left" w:pos="1080"/>
        </w:tabs>
        <w:snapToGrid w:val="0"/>
        <w:spacing w:line="400" w:lineRule="exact"/>
        <w:rPr>
          <w:rFonts w:ascii="Times New Roman" w:hAnsi="Times New Roman" w:cs="Times New Roman"/>
          <w:color w:val="000000"/>
          <w:szCs w:val="21"/>
        </w:rPr>
      </w:pPr>
      <w:r>
        <w:rPr>
          <w:rFonts w:ascii="Times New Roman" w:hAnsi="Times New Roman" w:cs="Times New Roman"/>
          <w:color w:val="000000"/>
          <w:szCs w:val="21"/>
        </w:rPr>
        <w:t>商务部分为F1、技术部分为F2、价格部分为F3</w:t>
      </w:r>
    </w:p>
    <w:p>
      <w:pPr>
        <w:widowControl/>
        <w:spacing w:line="400" w:lineRule="exact"/>
        <w:ind w:firstLine="420" w:firstLineChars="200"/>
        <w:jc w:val="left"/>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本遴选项目满分为100分。各投标人的总评分=F1+F2+F3，其中商务分F1为</w:t>
      </w:r>
      <w:r>
        <w:rPr>
          <w:rFonts w:hint="eastAsia" w:ascii="Times New Roman" w:hAnsi="Times New Roman" w:cs="Times New Roman"/>
          <w:color w:val="000000"/>
          <w:kern w:val="0"/>
          <w:szCs w:val="21"/>
          <w:lang w:bidi="ar"/>
        </w:rPr>
        <w:t>35</w:t>
      </w:r>
      <w:r>
        <w:rPr>
          <w:rFonts w:ascii="Times New Roman" w:hAnsi="Times New Roman" w:cs="Times New Roman"/>
          <w:color w:val="000000"/>
          <w:kern w:val="0"/>
          <w:szCs w:val="21"/>
          <w:lang w:bidi="ar"/>
        </w:rPr>
        <w:t>分,技术分F2为</w:t>
      </w:r>
      <w:r>
        <w:rPr>
          <w:rFonts w:hint="eastAsia" w:ascii="Times New Roman" w:hAnsi="Times New Roman" w:cs="Times New Roman"/>
          <w:color w:val="000000"/>
          <w:kern w:val="0"/>
          <w:szCs w:val="21"/>
          <w:lang w:bidi="ar"/>
        </w:rPr>
        <w:t>50</w:t>
      </w:r>
      <w:r>
        <w:rPr>
          <w:rFonts w:ascii="Times New Roman" w:hAnsi="Times New Roman" w:cs="Times New Roman"/>
          <w:color w:val="000000"/>
          <w:kern w:val="0"/>
          <w:szCs w:val="21"/>
          <w:lang w:bidi="ar"/>
        </w:rPr>
        <w:t>分，价格分F3为</w:t>
      </w:r>
      <w:r>
        <w:rPr>
          <w:rFonts w:hint="eastAsia" w:ascii="Times New Roman" w:hAnsi="Times New Roman" w:cs="Times New Roman"/>
          <w:color w:val="000000"/>
          <w:kern w:val="0"/>
          <w:szCs w:val="21"/>
          <w:lang w:bidi="ar"/>
        </w:rPr>
        <w:t>15</w:t>
      </w:r>
      <w:r>
        <w:rPr>
          <w:rFonts w:ascii="Times New Roman" w:hAnsi="Times New Roman" w:cs="Times New Roman"/>
          <w:color w:val="000000"/>
          <w:kern w:val="0"/>
          <w:szCs w:val="21"/>
          <w:lang w:bidi="ar"/>
        </w:rPr>
        <w:t>分。各投标人的总评分=F1+F2+F3。价格取供应商各产品单价的合计总价做比较，价格分采用低价优先法计算，即满足遴选文件要求且最后报价最低的供应商的价格为遴选基准价，其价格分为满分。其他供应商的价格分统一按照下列公式计算：遴选报价得分=（遴选基准价</w:t>
      </w:r>
      <w:r>
        <w:rPr>
          <w:rFonts w:hint="eastAsia" w:ascii="Times New Roman" w:hAnsi="Times New Roman" w:cs="Times New Roman"/>
          <w:color w:val="000000"/>
          <w:kern w:val="0"/>
          <w:szCs w:val="21"/>
          <w:lang w:bidi="ar"/>
        </w:rPr>
        <w:t>/</w:t>
      </w:r>
      <w:r>
        <w:rPr>
          <w:rFonts w:ascii="Times New Roman" w:hAnsi="Times New Roman" w:cs="Times New Roman"/>
          <w:color w:val="000000"/>
          <w:kern w:val="0"/>
          <w:szCs w:val="21"/>
          <w:lang w:bidi="ar"/>
        </w:rPr>
        <w:t>供应商报价）×价格权值×100</w:t>
      </w:r>
    </w:p>
    <w:p>
      <w:pPr>
        <w:widowControl/>
        <w:spacing w:line="400" w:lineRule="exact"/>
        <w:ind w:firstLine="420" w:firstLineChars="200"/>
        <w:jc w:val="left"/>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各评委取各自总评分最高者作为推荐中标合作供应商，最后中标供应商以评委组投票数最高者最终确认。</w:t>
      </w:r>
    </w:p>
    <w:p>
      <w:pPr>
        <w:jc w:val="left"/>
        <w:rPr>
          <w:sz w:val="28"/>
          <w:szCs w:val="28"/>
        </w:rPr>
      </w:pPr>
    </w:p>
    <w:sectPr>
      <w:pgSz w:w="11906" w:h="16838"/>
      <w:pgMar w:top="1928" w:right="1588"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cript MT Bold">
    <w:panose1 w:val="03040602040607080904"/>
    <w:charset w:val="00"/>
    <w:family w:val="auto"/>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AD6404"/>
    <w:multiLevelType w:val="singleLevel"/>
    <w:tmpl w:val="DAAD6404"/>
    <w:lvl w:ilvl="0" w:tentative="0">
      <w:start w:val="1"/>
      <w:numFmt w:val="decimal"/>
      <w:suff w:val="nothing"/>
      <w:lvlText w:val="（%1）"/>
      <w:lvlJc w:val="left"/>
    </w:lvl>
  </w:abstractNum>
  <w:abstractNum w:abstractNumId="1">
    <w:nsid w:val="00000004"/>
    <w:multiLevelType w:val="multilevel"/>
    <w:tmpl w:val="00000004"/>
    <w:lvl w:ilvl="0" w:tentative="0">
      <w:start w:val="2011"/>
      <w:numFmt w:val="bullet"/>
      <w:lvlText w:val="-"/>
      <w:lvlJc w:val="left"/>
      <w:pPr>
        <w:tabs>
          <w:tab w:val="left" w:pos="360"/>
        </w:tabs>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pStyle w:val="3"/>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8784621"/>
    <w:multiLevelType w:val="singleLevel"/>
    <w:tmpl w:val="08784621"/>
    <w:lvl w:ilvl="0" w:tentative="0">
      <w:start w:val="2"/>
      <w:numFmt w:val="decimal"/>
      <w:suff w:val="space"/>
      <w:lvlText w:val="%1."/>
      <w:lvlJc w:val="left"/>
    </w:lvl>
  </w:abstractNum>
  <w:abstractNum w:abstractNumId="3">
    <w:nsid w:val="4180A0DB"/>
    <w:multiLevelType w:val="singleLevel"/>
    <w:tmpl w:val="4180A0DB"/>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QyZWVmYTZjZTAwNGQzMTYyZWE1NTM5MjMzNGRlN2EifQ=="/>
  </w:docVars>
  <w:rsids>
    <w:rsidRoot w:val="00172A27"/>
    <w:rsid w:val="00005419"/>
    <w:rsid w:val="0005078F"/>
    <w:rsid w:val="00060F63"/>
    <w:rsid w:val="00061A8B"/>
    <w:rsid w:val="00080BD3"/>
    <w:rsid w:val="00094459"/>
    <w:rsid w:val="00143E63"/>
    <w:rsid w:val="00172A27"/>
    <w:rsid w:val="00265A28"/>
    <w:rsid w:val="002A484E"/>
    <w:rsid w:val="002D3A53"/>
    <w:rsid w:val="003831C0"/>
    <w:rsid w:val="00383E35"/>
    <w:rsid w:val="003D2570"/>
    <w:rsid w:val="0046632C"/>
    <w:rsid w:val="004955C1"/>
    <w:rsid w:val="004C5AD8"/>
    <w:rsid w:val="004E4DA7"/>
    <w:rsid w:val="00500263"/>
    <w:rsid w:val="0064304E"/>
    <w:rsid w:val="00672A77"/>
    <w:rsid w:val="00741D74"/>
    <w:rsid w:val="007872E0"/>
    <w:rsid w:val="007A47B3"/>
    <w:rsid w:val="007C181E"/>
    <w:rsid w:val="00881DC6"/>
    <w:rsid w:val="008A2210"/>
    <w:rsid w:val="009F7883"/>
    <w:rsid w:val="00A105CB"/>
    <w:rsid w:val="00A15D2B"/>
    <w:rsid w:val="00A570DF"/>
    <w:rsid w:val="00AC449E"/>
    <w:rsid w:val="00AF0C14"/>
    <w:rsid w:val="00B0120B"/>
    <w:rsid w:val="00B55E45"/>
    <w:rsid w:val="00BB0E50"/>
    <w:rsid w:val="00BE622D"/>
    <w:rsid w:val="00C80C88"/>
    <w:rsid w:val="00CE1BC5"/>
    <w:rsid w:val="00D12932"/>
    <w:rsid w:val="00D246C9"/>
    <w:rsid w:val="00D679DA"/>
    <w:rsid w:val="00DC21AB"/>
    <w:rsid w:val="00E86B58"/>
    <w:rsid w:val="00F559AF"/>
    <w:rsid w:val="01507D34"/>
    <w:rsid w:val="0153453C"/>
    <w:rsid w:val="01CB297C"/>
    <w:rsid w:val="02E3014B"/>
    <w:rsid w:val="0301396B"/>
    <w:rsid w:val="03986975"/>
    <w:rsid w:val="04012B21"/>
    <w:rsid w:val="04703C11"/>
    <w:rsid w:val="04BC79D1"/>
    <w:rsid w:val="061D4115"/>
    <w:rsid w:val="06C638E3"/>
    <w:rsid w:val="07187830"/>
    <w:rsid w:val="07AE35A7"/>
    <w:rsid w:val="07B11FAD"/>
    <w:rsid w:val="081D70DE"/>
    <w:rsid w:val="09146371"/>
    <w:rsid w:val="09636126"/>
    <w:rsid w:val="097C4A9B"/>
    <w:rsid w:val="09957BC4"/>
    <w:rsid w:val="0A7C3745"/>
    <w:rsid w:val="0A7D08EF"/>
    <w:rsid w:val="0BF321CC"/>
    <w:rsid w:val="0C5A18DE"/>
    <w:rsid w:val="0CA17BC7"/>
    <w:rsid w:val="0D6026FB"/>
    <w:rsid w:val="0D6B2B13"/>
    <w:rsid w:val="0D7865A5"/>
    <w:rsid w:val="0DC36A25"/>
    <w:rsid w:val="0EA71D6A"/>
    <w:rsid w:val="0EBE1DF1"/>
    <w:rsid w:val="0FC84B6A"/>
    <w:rsid w:val="10D95CB2"/>
    <w:rsid w:val="110414F5"/>
    <w:rsid w:val="114378E0"/>
    <w:rsid w:val="11A67F1D"/>
    <w:rsid w:val="12124AB5"/>
    <w:rsid w:val="12B058B8"/>
    <w:rsid w:val="137A2D83"/>
    <w:rsid w:val="138E0413"/>
    <w:rsid w:val="139E2979"/>
    <w:rsid w:val="141F23CC"/>
    <w:rsid w:val="14D577BC"/>
    <w:rsid w:val="156A35F2"/>
    <w:rsid w:val="157405BF"/>
    <w:rsid w:val="171325EA"/>
    <w:rsid w:val="176026E9"/>
    <w:rsid w:val="178A7F7B"/>
    <w:rsid w:val="17ED57D0"/>
    <w:rsid w:val="18B53886"/>
    <w:rsid w:val="18BA5E1D"/>
    <w:rsid w:val="193F18FA"/>
    <w:rsid w:val="197B3910"/>
    <w:rsid w:val="199B0AEF"/>
    <w:rsid w:val="1B255BD0"/>
    <w:rsid w:val="1B746016"/>
    <w:rsid w:val="1BA6336D"/>
    <w:rsid w:val="1CD062D3"/>
    <w:rsid w:val="1D1F18D5"/>
    <w:rsid w:val="1D812873"/>
    <w:rsid w:val="1ECF7D63"/>
    <w:rsid w:val="1FA173F5"/>
    <w:rsid w:val="1FC96609"/>
    <w:rsid w:val="1FD62D47"/>
    <w:rsid w:val="204236FB"/>
    <w:rsid w:val="20CE32DF"/>
    <w:rsid w:val="210C6647"/>
    <w:rsid w:val="215D2DC3"/>
    <w:rsid w:val="225E0E38"/>
    <w:rsid w:val="22A21616"/>
    <w:rsid w:val="23E03B67"/>
    <w:rsid w:val="248D2E59"/>
    <w:rsid w:val="25404F7A"/>
    <w:rsid w:val="26066D6F"/>
    <w:rsid w:val="260A5AB2"/>
    <w:rsid w:val="26446337"/>
    <w:rsid w:val="27DB0625"/>
    <w:rsid w:val="281D775F"/>
    <w:rsid w:val="28341582"/>
    <w:rsid w:val="284C4A2B"/>
    <w:rsid w:val="285E5C88"/>
    <w:rsid w:val="28F96979"/>
    <w:rsid w:val="2954525D"/>
    <w:rsid w:val="2BFD51BC"/>
    <w:rsid w:val="2C665AE5"/>
    <w:rsid w:val="2C695F59"/>
    <w:rsid w:val="2C9129A5"/>
    <w:rsid w:val="2CDE7D2D"/>
    <w:rsid w:val="2D500B4B"/>
    <w:rsid w:val="2DF36570"/>
    <w:rsid w:val="2DF829F8"/>
    <w:rsid w:val="2E354A5B"/>
    <w:rsid w:val="2EDC2CF9"/>
    <w:rsid w:val="2F717783"/>
    <w:rsid w:val="2F907296"/>
    <w:rsid w:val="309645C5"/>
    <w:rsid w:val="30984245"/>
    <w:rsid w:val="30B17AA8"/>
    <w:rsid w:val="30C82816"/>
    <w:rsid w:val="321502BA"/>
    <w:rsid w:val="32C02951"/>
    <w:rsid w:val="337221BD"/>
    <w:rsid w:val="338F55A8"/>
    <w:rsid w:val="341A770A"/>
    <w:rsid w:val="35216C38"/>
    <w:rsid w:val="35EA4EA2"/>
    <w:rsid w:val="36CD2CF5"/>
    <w:rsid w:val="37D57125"/>
    <w:rsid w:val="38274AEF"/>
    <w:rsid w:val="38665C15"/>
    <w:rsid w:val="38C8511B"/>
    <w:rsid w:val="38E04160"/>
    <w:rsid w:val="39F17820"/>
    <w:rsid w:val="3A431329"/>
    <w:rsid w:val="3AEB1C36"/>
    <w:rsid w:val="3B410447"/>
    <w:rsid w:val="3B8443B3"/>
    <w:rsid w:val="3D07322A"/>
    <w:rsid w:val="3D1D0C51"/>
    <w:rsid w:val="3E9D3EF0"/>
    <w:rsid w:val="3F726556"/>
    <w:rsid w:val="3FF019F4"/>
    <w:rsid w:val="408A636F"/>
    <w:rsid w:val="42993ED1"/>
    <w:rsid w:val="43376703"/>
    <w:rsid w:val="43B70AA5"/>
    <w:rsid w:val="4494718F"/>
    <w:rsid w:val="44ED30A1"/>
    <w:rsid w:val="46090186"/>
    <w:rsid w:val="47F00E85"/>
    <w:rsid w:val="481A57D7"/>
    <w:rsid w:val="49636EE3"/>
    <w:rsid w:val="498176A7"/>
    <w:rsid w:val="499D11D6"/>
    <w:rsid w:val="4A4B039E"/>
    <w:rsid w:val="4A774678"/>
    <w:rsid w:val="4A7F29C9"/>
    <w:rsid w:val="4ABD43D0"/>
    <w:rsid w:val="4B5E2AC3"/>
    <w:rsid w:val="4BF75B32"/>
    <w:rsid w:val="4C1672E0"/>
    <w:rsid w:val="4E005F07"/>
    <w:rsid w:val="4E431E74"/>
    <w:rsid w:val="4EA4073F"/>
    <w:rsid w:val="4F124ACB"/>
    <w:rsid w:val="4F7769ED"/>
    <w:rsid w:val="4F7B53F3"/>
    <w:rsid w:val="4FE21920"/>
    <w:rsid w:val="527A4A5C"/>
    <w:rsid w:val="53176703"/>
    <w:rsid w:val="535C6E92"/>
    <w:rsid w:val="53DB6C22"/>
    <w:rsid w:val="55D75763"/>
    <w:rsid w:val="55F1744D"/>
    <w:rsid w:val="56871CD2"/>
    <w:rsid w:val="57D72CAA"/>
    <w:rsid w:val="59BC7647"/>
    <w:rsid w:val="5ADB7A9F"/>
    <w:rsid w:val="5AEA6A34"/>
    <w:rsid w:val="5B0453E0"/>
    <w:rsid w:val="5B743E4F"/>
    <w:rsid w:val="5C8E79B5"/>
    <w:rsid w:val="5F764B7B"/>
    <w:rsid w:val="60494F5F"/>
    <w:rsid w:val="60F57B8A"/>
    <w:rsid w:val="60FB7B42"/>
    <w:rsid w:val="61017934"/>
    <w:rsid w:val="611C17E3"/>
    <w:rsid w:val="61742843"/>
    <w:rsid w:val="62724313"/>
    <w:rsid w:val="62CD7EA4"/>
    <w:rsid w:val="62E4334D"/>
    <w:rsid w:val="636A1027"/>
    <w:rsid w:val="63DD50F2"/>
    <w:rsid w:val="64B25D57"/>
    <w:rsid w:val="65644665"/>
    <w:rsid w:val="67AF422A"/>
    <w:rsid w:val="68B732C1"/>
    <w:rsid w:val="6A2C45BE"/>
    <w:rsid w:val="6ADD08B6"/>
    <w:rsid w:val="6ADD0B5E"/>
    <w:rsid w:val="6B7D50F9"/>
    <w:rsid w:val="6B834DB8"/>
    <w:rsid w:val="6B9D0F9D"/>
    <w:rsid w:val="6D290723"/>
    <w:rsid w:val="6D342338"/>
    <w:rsid w:val="6E0F771C"/>
    <w:rsid w:val="70D66C2B"/>
    <w:rsid w:val="71F1067C"/>
    <w:rsid w:val="71FE1F10"/>
    <w:rsid w:val="72107351"/>
    <w:rsid w:val="72C42BFA"/>
    <w:rsid w:val="73715675"/>
    <w:rsid w:val="74116287"/>
    <w:rsid w:val="743069A4"/>
    <w:rsid w:val="745B0E16"/>
    <w:rsid w:val="75644B06"/>
    <w:rsid w:val="758F14C8"/>
    <w:rsid w:val="75A51D92"/>
    <w:rsid w:val="761855A7"/>
    <w:rsid w:val="7714326D"/>
    <w:rsid w:val="77347DE5"/>
    <w:rsid w:val="77B252CF"/>
    <w:rsid w:val="77B95F79"/>
    <w:rsid w:val="78D05741"/>
    <w:rsid w:val="7A015127"/>
    <w:rsid w:val="7AA70041"/>
    <w:rsid w:val="7AAD3D95"/>
    <w:rsid w:val="7AE17ABF"/>
    <w:rsid w:val="7B0D52CF"/>
    <w:rsid w:val="7B777F9E"/>
    <w:rsid w:val="7BA448B7"/>
    <w:rsid w:val="7DA62C8D"/>
    <w:rsid w:val="7DE07113"/>
    <w:rsid w:val="7E2120FB"/>
    <w:rsid w:val="7F1072DF"/>
    <w:rsid w:val="7FB65A15"/>
    <w:rsid w:val="7FF23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ahoma" w:hAnsi="Tahoma"/>
    </w:rPr>
  </w:style>
  <w:style w:type="paragraph" w:styleId="3">
    <w:name w:val="Date"/>
    <w:basedOn w:val="1"/>
    <w:next w:val="1"/>
    <w:qFormat/>
    <w:uiPriority w:val="0"/>
    <w:pPr>
      <w:numPr>
        <w:ilvl w:val="2"/>
        <w:numId w:val="1"/>
      </w:numPr>
    </w:pPr>
    <w:rPr>
      <w:rFonts w:ascii="宋体"/>
      <w:sz w:val="28"/>
      <w:szCs w:val="20"/>
    </w:rPr>
  </w:style>
  <w:style w:type="paragraph" w:styleId="4">
    <w:name w:val="annotation text"/>
    <w:basedOn w:val="1"/>
    <w:link w:val="31"/>
    <w:qFormat/>
    <w:uiPriority w:val="0"/>
    <w:pPr>
      <w:jc w:val="left"/>
    </w:pPr>
  </w:style>
  <w:style w:type="paragraph" w:styleId="5">
    <w:name w:val="Balloon Text"/>
    <w:basedOn w:val="1"/>
    <w:link w:val="17"/>
    <w:qFormat/>
    <w:uiPriority w:val="0"/>
    <w:rPr>
      <w:sz w:val="18"/>
      <w:szCs w:val="18"/>
    </w:rPr>
  </w:style>
  <w:style w:type="paragraph" w:styleId="6">
    <w:name w:val="footer"/>
    <w:basedOn w:val="1"/>
    <w:link w:val="23"/>
    <w:qFormat/>
    <w:uiPriority w:val="0"/>
    <w:pPr>
      <w:tabs>
        <w:tab w:val="center" w:pos="4153"/>
        <w:tab w:val="right" w:pos="8306"/>
      </w:tabs>
      <w:snapToGrid w:val="0"/>
      <w:jc w:val="left"/>
    </w:pPr>
    <w:rPr>
      <w:sz w:val="18"/>
      <w:szCs w:val="18"/>
    </w:rPr>
  </w:style>
  <w:style w:type="paragraph" w:styleId="7">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paragraph" w:styleId="9">
    <w:name w:val="annotation subject"/>
    <w:basedOn w:val="4"/>
    <w:next w:val="4"/>
    <w:link w:val="32"/>
    <w:qFormat/>
    <w:uiPriority w:val="0"/>
    <w:rPr>
      <w:b/>
      <w:bCs/>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Strong"/>
    <w:basedOn w:val="12"/>
    <w:qFormat/>
    <w:uiPriority w:val="0"/>
    <w:rPr>
      <w:b/>
    </w:rPr>
  </w:style>
  <w:style w:type="character" w:styleId="14">
    <w:name w:val="annotation reference"/>
    <w:basedOn w:val="12"/>
    <w:qFormat/>
    <w:uiPriority w:val="0"/>
    <w:rPr>
      <w:sz w:val="21"/>
      <w:szCs w:val="21"/>
    </w:rPr>
  </w:style>
  <w:style w:type="character" w:customStyle="1" w:styleId="15">
    <w:name w:val="font21"/>
    <w:basedOn w:val="12"/>
    <w:qFormat/>
    <w:uiPriority w:val="0"/>
    <w:rPr>
      <w:rFonts w:hint="eastAsia" w:ascii="宋体" w:hAnsi="宋体" w:eastAsia="宋体" w:cs="宋体"/>
      <w:color w:val="000000"/>
      <w:sz w:val="20"/>
      <w:szCs w:val="20"/>
      <w:u w:val="none"/>
    </w:rPr>
  </w:style>
  <w:style w:type="character" w:customStyle="1" w:styleId="16">
    <w:name w:val="font41"/>
    <w:basedOn w:val="12"/>
    <w:qFormat/>
    <w:uiPriority w:val="0"/>
    <w:rPr>
      <w:rFonts w:hint="default" w:ascii="Times New Roman" w:hAnsi="Times New Roman" w:cs="Times New Roman"/>
      <w:color w:val="000000"/>
      <w:sz w:val="20"/>
      <w:szCs w:val="20"/>
      <w:u w:val="none"/>
    </w:rPr>
  </w:style>
  <w:style w:type="character" w:customStyle="1" w:styleId="17">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18">
    <w:name w:val="font31"/>
    <w:basedOn w:val="12"/>
    <w:qFormat/>
    <w:uiPriority w:val="0"/>
    <w:rPr>
      <w:rFonts w:hint="default" w:ascii="Times New Roman" w:hAnsi="Times New Roman" w:cs="Times New Roman"/>
      <w:color w:val="000000"/>
      <w:sz w:val="20"/>
      <w:szCs w:val="20"/>
      <w:u w:val="none"/>
    </w:rPr>
  </w:style>
  <w:style w:type="character" w:customStyle="1" w:styleId="19">
    <w:name w:val="font51"/>
    <w:basedOn w:val="12"/>
    <w:qFormat/>
    <w:uiPriority w:val="0"/>
    <w:rPr>
      <w:rFonts w:hint="default" w:ascii="Times New Roman" w:hAnsi="Times New Roman" w:cs="Times New Roman"/>
      <w:color w:val="000000"/>
      <w:sz w:val="20"/>
      <w:szCs w:val="20"/>
      <w:u w:val="none"/>
    </w:rPr>
  </w:style>
  <w:style w:type="character" w:customStyle="1" w:styleId="20">
    <w:name w:val="font61"/>
    <w:basedOn w:val="12"/>
    <w:qFormat/>
    <w:uiPriority w:val="0"/>
    <w:rPr>
      <w:rFonts w:hint="default" w:ascii="Times New Roman" w:hAnsi="Times New Roman" w:cs="Times New Roman"/>
      <w:color w:val="000000"/>
      <w:sz w:val="20"/>
      <w:szCs w:val="20"/>
      <w:u w:val="none"/>
      <w:vertAlign w:val="subscript"/>
    </w:rPr>
  </w:style>
  <w:style w:type="character" w:customStyle="1" w:styleId="21">
    <w:name w:val="font11"/>
    <w:basedOn w:val="12"/>
    <w:qFormat/>
    <w:uiPriority w:val="0"/>
    <w:rPr>
      <w:rFonts w:hint="eastAsia" w:ascii="宋体" w:hAnsi="宋体" w:eastAsia="宋体" w:cs="宋体"/>
      <w:color w:val="000000"/>
      <w:sz w:val="24"/>
      <w:szCs w:val="24"/>
      <w:u w:val="none"/>
    </w:rPr>
  </w:style>
  <w:style w:type="character" w:customStyle="1" w:styleId="22">
    <w:name w:val="页眉 字符"/>
    <w:basedOn w:val="12"/>
    <w:link w:val="7"/>
    <w:qFormat/>
    <w:uiPriority w:val="0"/>
    <w:rPr>
      <w:rFonts w:asciiTheme="minorHAnsi" w:hAnsiTheme="minorHAnsi" w:eastAsiaTheme="minorEastAsia" w:cstheme="minorBidi"/>
      <w:kern w:val="2"/>
      <w:sz w:val="18"/>
      <w:szCs w:val="18"/>
    </w:rPr>
  </w:style>
  <w:style w:type="character" w:customStyle="1" w:styleId="23">
    <w:name w:val="页脚 字符"/>
    <w:basedOn w:val="12"/>
    <w:link w:val="6"/>
    <w:qFormat/>
    <w:uiPriority w:val="0"/>
    <w:rPr>
      <w:rFonts w:asciiTheme="minorHAnsi" w:hAnsiTheme="minorHAnsi" w:eastAsiaTheme="minorEastAsia" w:cstheme="minorBidi"/>
      <w:kern w:val="2"/>
      <w:sz w:val="18"/>
      <w:szCs w:val="18"/>
    </w:rPr>
  </w:style>
  <w:style w:type="paragraph" w:customStyle="1" w:styleId="24">
    <w:name w:val="null3"/>
    <w:hidden/>
    <w:qFormat/>
    <w:uiPriority w:val="0"/>
    <w:pPr>
      <w:jc w:val="center"/>
    </w:pPr>
    <w:rPr>
      <w:rFonts w:hint="eastAsia" w:asciiTheme="minorHAnsi" w:hAnsiTheme="minorHAnsi" w:eastAsiaTheme="minorEastAsia" w:cstheme="minorBidi"/>
      <w:lang w:val="en-US" w:eastAsia="zh-Hans" w:bidi="ar-SA"/>
    </w:rPr>
  </w:style>
  <w:style w:type="character" w:customStyle="1" w:styleId="25">
    <w:name w:val="font01"/>
    <w:basedOn w:val="12"/>
    <w:qFormat/>
    <w:uiPriority w:val="0"/>
    <w:rPr>
      <w:rFonts w:hint="eastAsia" w:ascii="仿宋_GB2312" w:eastAsia="仿宋_GB2312" w:cs="仿宋_GB2312"/>
      <w:b/>
      <w:bCs/>
      <w:color w:val="000000"/>
      <w:sz w:val="22"/>
      <w:szCs w:val="22"/>
      <w:u w:val="none"/>
    </w:rPr>
  </w:style>
  <w:style w:type="character" w:customStyle="1" w:styleId="26">
    <w:name w:val="font101"/>
    <w:basedOn w:val="12"/>
    <w:qFormat/>
    <w:uiPriority w:val="0"/>
    <w:rPr>
      <w:rFonts w:hint="eastAsia" w:ascii="仿宋_GB2312" w:eastAsia="仿宋_GB2312" w:cs="仿宋_GB2312"/>
      <w:color w:val="000000"/>
      <w:sz w:val="22"/>
      <w:szCs w:val="22"/>
      <w:u w:val="none"/>
    </w:rPr>
  </w:style>
  <w:style w:type="character" w:customStyle="1" w:styleId="27">
    <w:name w:val="font112"/>
    <w:basedOn w:val="12"/>
    <w:qFormat/>
    <w:uiPriority w:val="0"/>
    <w:rPr>
      <w:rFonts w:hint="eastAsia" w:ascii="仿宋_GB2312" w:eastAsia="仿宋_GB2312" w:cs="仿宋_GB2312"/>
      <w:color w:val="000000"/>
      <w:sz w:val="23"/>
      <w:szCs w:val="23"/>
      <w:u w:val="none"/>
    </w:rPr>
  </w:style>
  <w:style w:type="character" w:customStyle="1" w:styleId="28">
    <w:name w:val="font91"/>
    <w:basedOn w:val="12"/>
    <w:qFormat/>
    <w:uiPriority w:val="0"/>
    <w:rPr>
      <w:rFonts w:hint="default" w:ascii="Times New Roman" w:hAnsi="Times New Roman" w:cs="Times New Roman"/>
      <w:b/>
      <w:bCs/>
      <w:color w:val="000000"/>
      <w:sz w:val="32"/>
      <w:szCs w:val="32"/>
      <w:u w:val="none"/>
    </w:rPr>
  </w:style>
  <w:style w:type="character" w:customStyle="1" w:styleId="29">
    <w:name w:val="font71"/>
    <w:basedOn w:val="12"/>
    <w:qFormat/>
    <w:uiPriority w:val="0"/>
    <w:rPr>
      <w:rFonts w:hint="eastAsia" w:ascii="仿宋_GB2312" w:eastAsia="仿宋_GB2312" w:cs="仿宋_GB2312"/>
      <w:b/>
      <w:bCs/>
      <w:color w:val="000000"/>
      <w:sz w:val="32"/>
      <w:szCs w:val="32"/>
      <w:u w:val="none"/>
    </w:rPr>
  </w:style>
  <w:style w:type="paragraph" w:customStyle="1" w:styleId="30">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12</Pages>
  <Words>611</Words>
  <Characters>3484</Characters>
  <Lines>29</Lines>
  <Paragraphs>8</Paragraphs>
  <TotalTime>10</TotalTime>
  <ScaleCrop>false</ScaleCrop>
  <LinksUpToDate>false</LinksUpToDate>
  <CharactersWithSpaces>4087</CharactersWithSpaces>
  <Application>WPS Office_11.8.2.12330_F1E327BC-269C-435d-A152-05C5408002CA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2026-03-10T01:43:00Z</dcterms:created>
  <dc:creator>bgs</dc:creator>
  <cp:lastModifiedBy>饶衍冰</cp:lastModifiedBy>
  <cp:lastPrinted>2025-08-11T01:55:00Z</cp:lastPrinted>
  <dcterms:modified xsi:type="dcterms:W3CDTF">2026-03-10T06:17:13Z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2052-11.8.2.12330</vt:lpwstr>
  </property>
  <property fmtid="{D5CDD505-2E9C-101B-9397-08002B2CF9AE}" pid="3" name="ICV">
    <vt:lpwstr>034AE919B501413C8BB90E2688044FF1</vt:lpwstr>
  </property>
  <property fmtid="{D5CDD505-2E9C-101B-9397-08002B2CF9AE}" pid="4" name="KSOTemplateDocerSaveRecord">
    <vt:lpwstr>eyJoZGlkIjoiY2QxMTkzY2I5YjI3MDAxZjE4NGQwYmZlNGVmYTcxYjMiLCJ1c2VySWQiOiIyOTk5MTA3MjYifQ==</vt:lpwstr>
  </property>
</Properties>
</file>