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4645A">
      <w:pPr>
        <w:ind w:firstLine="803"/>
        <w:jc w:val="center"/>
        <w:rPr>
          <w:b/>
          <w:bCs/>
          <w:color w:val="auto"/>
          <w:sz w:val="40"/>
          <w:szCs w:val="48"/>
        </w:rPr>
      </w:pPr>
      <w:r>
        <w:rPr>
          <w:rFonts w:hint="eastAsia"/>
          <w:b/>
          <w:bCs/>
          <w:color w:val="auto"/>
          <w:sz w:val="40"/>
          <w:szCs w:val="48"/>
        </w:rPr>
        <w:t>危废处理服务采购需求</w:t>
      </w:r>
    </w:p>
    <w:p w14:paraId="7CC4CC0C">
      <w:pPr>
        <w:ind w:firstLine="643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          </w:t>
      </w:r>
    </w:p>
    <w:p w14:paraId="6A257391">
      <w:pPr>
        <w:numPr>
          <w:ilvl w:val="0"/>
          <w:numId w:val="1"/>
        </w:numPr>
        <w:ind w:firstLine="562"/>
        <w:jc w:val="left"/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项目概况</w:t>
      </w:r>
    </w:p>
    <w:p w14:paraId="3E56130B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 xml:space="preserve">（一）基础信息 </w:t>
      </w:r>
      <w:bookmarkStart w:id="4" w:name="_GoBack"/>
      <w:bookmarkEnd w:id="4"/>
    </w:p>
    <w:p w14:paraId="56C5B87D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1.项目名称：危废处理服务</w:t>
      </w:r>
    </w:p>
    <w:p w14:paraId="3F65C2BE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2.服务范围：覆盖全院下属所有办公及实验场地（含各中</w:t>
      </w:r>
      <w:r>
        <w:rPr>
          <w:color w:val="auto"/>
          <w:sz w:val="28"/>
          <w:szCs w:val="36"/>
        </w:rPr>
        <w:t>心</w:t>
      </w:r>
      <w:r>
        <w:rPr>
          <w:rFonts w:hint="eastAsia"/>
          <w:color w:val="auto"/>
          <w:sz w:val="28"/>
          <w:szCs w:val="36"/>
        </w:rPr>
        <w:t>、检测实验室、样品存储区等）产生的全部危险废物处理工作，包括但不限于各类检测实验残余危废、废弃试剂、污染耗材等。</w:t>
      </w:r>
    </w:p>
    <w:p w14:paraId="05ABA186">
      <w:pPr>
        <w:ind w:firstLine="560" w:firstLineChars="200"/>
        <w:jc w:val="left"/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3.服务期限：1年，自双方正式签订服务合同之日起计算。</w:t>
      </w:r>
    </w:p>
    <w:p w14:paraId="7404E89C">
      <w:pPr>
        <w:ind w:firstLine="560" w:firstLineChars="200"/>
        <w:jc w:val="left"/>
        <w:rPr>
          <w:rFonts w:hint="default" w:eastAsiaTheme="minor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4.本项目全年预算总价为：110000元，据实结算，全年采购金额不高于预算金额。</w:t>
      </w:r>
    </w:p>
    <w:p w14:paraId="42AF729C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 xml:space="preserve">（二）服务内容及要求 </w:t>
      </w:r>
    </w:p>
    <w:p w14:paraId="5FCCA1F6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1.涵盖废物类别</w:t>
      </w:r>
    </w:p>
    <w:p w14:paraId="486E4BA9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废弃化学试剂：包括酸碱试剂（如硫酸、氢氧化钠等）、有机试剂（如甲醇、丙酮等）、易燃易爆试剂（如乙醚、乙醇等）及其他检测实验中产生的废弃试剂。</w:t>
      </w:r>
    </w:p>
    <w:p w14:paraId="4A595E72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有毒有害废液：涵盖重金属废液（含铅、汞、镉等）、含氰废液、含铬废液、含油废液及其他含有毒有害成分的实验废液。</w:t>
      </w:r>
    </w:p>
    <w:p w14:paraId="61892343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沾染性实验耗材：废弃的移液器吸头、离心管、试管、培养皿、滤纸、实验手套、防护服等沾染危险物质的耗材。</w:t>
      </w:r>
    </w:p>
    <w:p w14:paraId="651AB819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其他危废：过期失效的标准物质、标准样品，检测后产生的残余样品（经鉴别为危废的），以及环保部门认定的其他危险废物。</w:t>
      </w:r>
    </w:p>
    <w:p w14:paraId="4D159376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2.处理设施与技术</w:t>
      </w:r>
    </w:p>
    <w:p w14:paraId="4FC703C9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供应商需具备国家及福建省环保部门认可的危险废物处理设施，设施规模与技术水平需满足我院危废产生量及类别需求，且近3年内无重大环保违法记录。</w:t>
      </w:r>
    </w:p>
    <w:p w14:paraId="20E921C5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针对不同类别危废采用合规技术：有机类危废采用符合国家标准的焚烧或无害化降解技术；重金属类危废采用稳定化、固化处理技术；液体类危废需经预处理后再进行终端处置，确保最终排放及残渣处理符合《危险废物焚烧污染控制标准》（GB18484）等国家及地方标准。</w:t>
      </w:r>
    </w:p>
    <w:p w14:paraId="2AC13DB0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3.运输能力保障</w:t>
      </w:r>
    </w:p>
    <w:p w14:paraId="5268487A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运输车辆需取得《道路危险货物运输证》，车型与载重匹配我院危废运输需求，配备GPS定位系统、实时视频监控设备及防火、防爆、防泄漏、防腐蚀的应急防护装备（如吸附棉、灭火器、泄漏收集桶等）。</w:t>
      </w:r>
    </w:p>
    <w:p w14:paraId="05B14B5D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运输人员需持有《道路危险货物运输驾驶员证》《道路危险货物运输押运员证》，且具备3年以上危险货物运输从业经验；随车需配备1-2名专业搬运员，负责危废装卸作业，装卸过程需符合危废分类搬运规范，避免交叉污染。</w:t>
      </w:r>
    </w:p>
    <w:p w14:paraId="7DA4D67E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4.台账与溯源管理</w:t>
      </w:r>
    </w:p>
    <w:p w14:paraId="3227017A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每次运输及处理需建立完整台账，详细记录危废名称、类别、数量、产生地点、运输时间、处理时间、处理方式及最终去向，并出具由环保部门认可的《危险废物转移联单》《危险废物处理处置证明》，确保全流程可溯源，每月向我院提交危废处理汇总报告。</w:t>
      </w:r>
    </w:p>
    <w:p w14:paraId="66A19B40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color w:val="auto"/>
          <w:sz w:val="28"/>
          <w:szCs w:val="36"/>
        </w:rPr>
        <w:t>5.</w:t>
      </w:r>
      <w:r>
        <w:rPr>
          <w:rFonts w:hint="eastAsia"/>
          <w:color w:val="auto"/>
          <w:sz w:val="28"/>
          <w:szCs w:val="36"/>
        </w:rPr>
        <w:t>协助管理：协助我院完成危险废物管理相关工作，包括配合环保部门的备案及监督检查、提供危废处理相关的技术咨询和培训等 。</w:t>
      </w:r>
    </w:p>
    <w:p w14:paraId="43D5F34F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 xml:space="preserve">6.其他要求 </w:t>
      </w:r>
    </w:p>
    <w:p w14:paraId="01E3ED94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6</w:t>
      </w:r>
      <w:r>
        <w:rPr>
          <w:color w:val="auto"/>
          <w:sz w:val="28"/>
          <w:szCs w:val="36"/>
        </w:rPr>
        <w:t>.1</w:t>
      </w:r>
      <w:r>
        <w:rPr>
          <w:rFonts w:hint="eastAsia"/>
          <w:color w:val="auto"/>
          <w:sz w:val="28"/>
          <w:szCs w:val="36"/>
        </w:rPr>
        <w:t>供应商需承诺在服务期内，若国家或福建省出台新的危废处理环保标准，将无条件按新标准调整处理工艺，且不额外增加服务费用。</w:t>
      </w:r>
    </w:p>
    <w:p w14:paraId="201DEC02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6.</w:t>
      </w:r>
      <w:r>
        <w:rPr>
          <w:color w:val="auto"/>
          <w:sz w:val="28"/>
          <w:szCs w:val="36"/>
        </w:rPr>
        <w:t>2</w:t>
      </w:r>
      <w:r>
        <w:rPr>
          <w:rFonts w:hint="eastAsia"/>
          <w:color w:val="auto"/>
          <w:sz w:val="28"/>
          <w:szCs w:val="36"/>
        </w:rPr>
        <w:t>服务期内若因供应商运输、处理不当造成环境污染、人员伤害或财产损失，由供应商承担全部法律责任及经济赔偿。</w:t>
      </w:r>
    </w:p>
    <w:p w14:paraId="53B16EBA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6.</w:t>
      </w:r>
      <w:r>
        <w:rPr>
          <w:color w:val="auto"/>
          <w:sz w:val="28"/>
          <w:szCs w:val="36"/>
        </w:rPr>
        <w:t>3</w:t>
      </w:r>
      <w:r>
        <w:rPr>
          <w:rFonts w:hint="eastAsia"/>
          <w:color w:val="auto"/>
          <w:sz w:val="28"/>
          <w:szCs w:val="36"/>
        </w:rPr>
        <w:t>供应商需在中标后30个日历日内与我院签订正式服务合同，逾期未签订视为自动放弃中标资格。</w:t>
      </w:r>
    </w:p>
    <w:p w14:paraId="18495425">
      <w:pPr>
        <w:numPr>
          <w:ilvl w:val="0"/>
          <w:numId w:val="1"/>
        </w:numPr>
        <w:ind w:firstLine="562"/>
        <w:jc w:val="left"/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评分办法</w:t>
      </w:r>
    </w:p>
    <w:p w14:paraId="626245DA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1.商务分F1（10分） </w:t>
      </w:r>
    </w:p>
    <w:p w14:paraId="6F1EA983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1.1具备独立法人资格，提供有效的营业执照。</w:t>
      </w:r>
    </w:p>
    <w:p w14:paraId="065A0752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1.2拥有有效的《危险废物经营许可证》，核准经营的危废类别需全面覆盖我院上述“涵盖废物类别”中所有种类（需在许可证“核准经营类别”栏明确体现）。</w:t>
      </w:r>
    </w:p>
    <w:p w14:paraId="0ED8AC2C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1.3具备自有运输能力，提供道路主管部门颁发的《道路运输经营许可证》，经营范围需包含“危险货物运输”（需明确标注危险货物类别，与我院危废类别匹配），且证件在有效期内。</w:t>
      </w:r>
    </w:p>
    <w:p w14:paraId="46D78AAA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1.4 未被列入“信用中国”网站失信被执行人、重大税收违法案件当事人名单（提供信用中国或政府采购网等平台查询截图）。</w:t>
      </w:r>
    </w:p>
    <w:p w14:paraId="55EF663C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1.5提供单位授权书（自然人除外）：若投标代表为委托代理人，需提供加盖单位公章的授权书及代理人身份证复印件；若为单位负责人，提供负责人身份证正反面复印件即可。 </w:t>
      </w:r>
    </w:p>
    <w:p w14:paraId="27351B03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以上条件同时具备得10分，缺一项取消遴选资格</w:t>
      </w:r>
    </w:p>
    <w:p w14:paraId="5C31FAC4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2. 技术分F2（40分） </w:t>
      </w:r>
    </w:p>
    <w:p w14:paraId="046E0B6C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2.1 响应时间保证（10分） </w:t>
      </w:r>
    </w:p>
    <w:p w14:paraId="0CB8D606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常规收集响应：接到我院危废处理通知后，2个工作日内安排专业人员及专用车辆到达指定地点收集，得10分；5个工作日内到达，得5分；超过5个工作日，得0分。 </w:t>
      </w:r>
    </w:p>
    <w:p w14:paraId="29F768F7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2.2 应急响应机制（10分） </w:t>
      </w:r>
    </w:p>
    <w:p w14:paraId="13829BD5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针对危废泄漏、包装破损、突发环境事件等紧急情况，接到通知后30分钟内响应并启动应急预案，1小时内到达现场处置，提供详细应急方案（含人员分工、物资调配、处置流程），得10分；30分钟内响应、2小时内到达现场，应急方案较完善，得5分；响应时间超过30分钟或未提供明确应急方案，得0分。 </w:t>
      </w:r>
    </w:p>
    <w:p w14:paraId="14A0F487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2.3 协助管理服务（10分）  </w:t>
      </w:r>
    </w:p>
    <w:p w14:paraId="62E74187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全程协助我院完成危废管理工作：配合环保部门备案、年度核查及监督检查，每年提供不少于2次危废管理技术培训（如危废分类、存储规范等），每月提供危废处理政策咨询服务，得10分；仅配合环保检查及提供基础咨询，未开展培训，得5分；未提供协助管理服务，得0分。</w:t>
      </w:r>
    </w:p>
    <w:p w14:paraId="7DD190B8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2.4对项目概况（二）</w:t>
      </w:r>
      <w:r>
        <w:rPr>
          <w:rFonts w:hint="eastAsia"/>
          <w:color w:val="auto"/>
          <w:sz w:val="28"/>
          <w:szCs w:val="36"/>
        </w:rPr>
        <w:t>服务内容及要求</w:t>
      </w:r>
      <w:r>
        <w:rPr>
          <w:rFonts w:hint="eastAsia"/>
          <w:color w:val="auto"/>
          <w:sz w:val="28"/>
          <w:szCs w:val="28"/>
        </w:rPr>
        <w:t xml:space="preserve"> 的1-6点内容做出响应，并提供响应的服务承诺得10分，未响应不得分。</w:t>
      </w:r>
    </w:p>
    <w:p w14:paraId="6C2DDB12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3.价格分F3（50</w:t>
      </w:r>
      <w:r>
        <w:rPr>
          <w:rFonts w:hint="eastAsia"/>
          <w:color w:val="auto"/>
          <w:sz w:val="28"/>
          <w:szCs w:val="28"/>
          <w:lang w:val="en-US" w:eastAsia="zh-CN"/>
        </w:rPr>
        <w:t>分</w:t>
      </w:r>
      <w:r>
        <w:rPr>
          <w:rFonts w:hint="eastAsia"/>
          <w:color w:val="auto"/>
          <w:sz w:val="28"/>
          <w:szCs w:val="28"/>
        </w:rPr>
        <w:t>）（报价清单详见附件）。</w:t>
      </w:r>
    </w:p>
    <w:p w14:paraId="363A3B26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3.1明细报价：</w:t>
      </w:r>
    </w:p>
    <w:p w14:paraId="72FBF326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（1）废物（液）处置30分：供应商需提供详细的报价清单，按不同危废类别分别报出处理单价（单位：元/吨或元/公斤等），每年按13吨处理量报总价，超出部分按清单价结算； 报价以“工业废物（液）处理处理（全年包干15吨）1年服务费”最低报价确定为30分；</w:t>
      </w:r>
    </w:p>
    <w:p w14:paraId="46ABEA8C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（2）运输费用20分：需明确计费方式，</w:t>
      </w:r>
      <w:r>
        <w:rPr>
          <w:color w:val="auto"/>
        </w:rPr>
        <w:t xml:space="preserve"> </w:t>
      </w:r>
      <w:r>
        <w:rPr>
          <w:rFonts w:hint="eastAsia"/>
          <w:color w:val="auto"/>
          <w:sz w:val="28"/>
          <w:szCs w:val="28"/>
        </w:rPr>
        <w:t>报价以“5吨荷载车辆每车次运输费”最低报价为20分</w:t>
      </w:r>
    </w:p>
    <w:p w14:paraId="03406D93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3.2 价格有效期：注明报价的有效期限，在有效期内，若无特殊情况（如原材料价格大幅波动、政策重大调整等），不得随意变更价格 。</w:t>
      </w:r>
    </w:p>
    <w:p w14:paraId="4C51CC82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价格分F3最终以废物（液）处置分+运输费用分的合计总分计算。</w:t>
      </w:r>
    </w:p>
    <w:p w14:paraId="791F7449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3.3供应商需按附件模板填写《报价单》，并加盖公章；</w:t>
      </w:r>
    </w:p>
    <w:p w14:paraId="739EDEEB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备注：营业执照等证明文件复印件：①投标人为企业的，提供有效的营业执照复印件；投标人为事业单位的，提供有效的事业单位法人证书复印件；投标人为社会团体的，提供有效的社会团体法人登记证书复印件；投标人为合伙企业、个体工商户的，提供有效的营业执照复印件；投标人为非企业专业服务机构的，提供有效的执业许可证等证明材料复印件；投标人为自然人的，提供有效的自然人身份证件复印件；其他投标人应按照有关法律、法规和规章规定，提供有效的相应具体证照复印件。</w:t>
      </w:r>
    </w:p>
    <w:p w14:paraId="6A81BADE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单位授权书：①投标人（自然人除外）：若投标人代表为单位授权的委托代理人，应提供本授权书；若投标人代表为单位负责人，应在此项下提交其身份证正反面复印件，可不提供本授权书。 ②投标人为自然人的，可不填写本授权书。 </w:t>
      </w:r>
    </w:p>
    <w:p w14:paraId="1AB1AEEE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三</w:t>
      </w:r>
      <w:r>
        <w:rPr>
          <w:color w:val="auto"/>
          <w:sz w:val="28"/>
          <w:szCs w:val="28"/>
        </w:rPr>
        <w:t>、</w:t>
      </w:r>
      <w:r>
        <w:rPr>
          <w:rFonts w:hint="eastAsia"/>
          <w:b/>
          <w:bCs/>
          <w:color w:val="auto"/>
          <w:sz w:val="28"/>
          <w:szCs w:val="36"/>
        </w:rPr>
        <w:t>评分标准</w:t>
      </w:r>
    </w:p>
    <w:p w14:paraId="135D02E2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商务部分为F1、技术部分为F2、价格部分为F3</w:t>
      </w:r>
    </w:p>
    <w:p w14:paraId="793BD74E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本遴选项目满分为100分。各投标人的总评分=F1+F2+F3，其中商务分F1为10分， 技术分F2为40分,价格分F3为50分。各投标人的总评分=F1+F2+F3。价格取供应商各产品单价的合计总价做比较，价格分采用低价优先法计算，即满足遴选文件要求且最后报价最低的供应商的价格为遴选基准价，其价格分为满分。其他供应商的价格分统一按照下列公式计算：遴选报价得分=（遴选基准价／供应商报价）×价格权值×100</w:t>
      </w:r>
    </w:p>
    <w:p w14:paraId="3C400D16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各评委取各自总评分最高者作为推荐中标合作供应商，最后中标供应商以评委组投票数最高者最终确认。</w:t>
      </w:r>
    </w:p>
    <w:p w14:paraId="6A3091D9">
      <w:pPr>
        <w:rPr>
          <w:color w:val="auto"/>
          <w:sz w:val="28"/>
          <w:szCs w:val="28"/>
        </w:rPr>
      </w:pPr>
    </w:p>
    <w:p w14:paraId="004B41CE">
      <w:pPr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 w14:paraId="487A775D">
      <w:pPr>
        <w:rPr>
          <w:rFonts w:ascii="宋体" w:hAnsi="宋体" w:eastAsia="宋体" w:cs="Times New Roman"/>
          <w:color w:val="auto"/>
          <w:sz w:val="30"/>
          <w:szCs w:val="30"/>
        </w:rPr>
      </w:pPr>
    </w:p>
    <w:p w14:paraId="5D808A7B">
      <w:pPr>
        <w:rPr>
          <w:rFonts w:ascii="宋体" w:hAnsi="宋体" w:eastAsia="宋体" w:cs="Times New Roman"/>
          <w:color w:val="auto"/>
          <w:sz w:val="30"/>
          <w:szCs w:val="30"/>
        </w:rPr>
      </w:pPr>
    </w:p>
    <w:p w14:paraId="001A7DED">
      <w:pPr>
        <w:rPr>
          <w:rFonts w:ascii="宋体" w:hAnsi="宋体" w:eastAsia="宋体" w:cs="Times New Roman"/>
          <w:color w:val="auto"/>
          <w:sz w:val="30"/>
          <w:szCs w:val="30"/>
        </w:rPr>
      </w:pPr>
    </w:p>
    <w:p w14:paraId="1C2384B3">
      <w:pPr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 w14:paraId="7659044D">
      <w:pPr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 w14:paraId="02C2ADEB">
      <w:pPr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 w14:paraId="09C2DFBA">
      <w:pPr>
        <w:rPr>
          <w:rFonts w:ascii="宋体" w:hAnsi="宋体" w:eastAsia="宋体" w:cs="Times New Roman"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</w:rPr>
        <w:t>附件：</w:t>
      </w:r>
    </w:p>
    <w:p w14:paraId="140D92FA">
      <w:pPr>
        <w:ind w:firstLine="600"/>
        <w:rPr>
          <w:rFonts w:ascii="宋体" w:hAnsi="宋体" w:eastAsia="宋体" w:cs="Times New Roman"/>
          <w:b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一、危废</w:t>
      </w:r>
      <w:r>
        <w:rPr>
          <w:rFonts w:ascii="宋体" w:hAnsi="宋体" w:eastAsia="宋体" w:cs="Times New Roman"/>
          <w:b/>
          <w:color w:val="auto"/>
          <w:sz w:val="30"/>
          <w:szCs w:val="30"/>
        </w:rPr>
        <w:t>处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理</w:t>
      </w:r>
      <w:r>
        <w:rPr>
          <w:rFonts w:ascii="宋体" w:hAnsi="宋体" w:eastAsia="宋体" w:cs="Times New Roman"/>
          <w:b/>
          <w:color w:val="auto"/>
          <w:sz w:val="30"/>
          <w:szCs w:val="30"/>
        </w:rPr>
        <w:t>服务报价单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：</w:t>
      </w:r>
    </w:p>
    <w:p w14:paraId="67CC4155">
      <w:pPr>
        <w:ind w:firstLine="361"/>
        <w:rPr>
          <w:rFonts w:ascii="宋体" w:hAnsi="宋体" w:eastAsia="宋体" w:cs="Times New Roman"/>
          <w:color w:val="auto"/>
          <w:sz w:val="18"/>
          <w:szCs w:val="18"/>
        </w:rPr>
      </w:pPr>
      <w:r>
        <w:rPr>
          <w:rFonts w:hint="eastAsia" w:ascii="宋体" w:hAnsi="宋体" w:eastAsia="宋体" w:cs="Times New Roman"/>
          <w:color w:val="auto"/>
          <w:sz w:val="18"/>
          <w:szCs w:val="18"/>
        </w:rPr>
        <w:t>根据</w:t>
      </w:r>
      <w:r>
        <w:rPr>
          <w:rFonts w:ascii="宋体" w:hAnsi="宋体" w:eastAsia="宋体" w:cs="Times New Roman"/>
          <w:color w:val="auto"/>
          <w:sz w:val="18"/>
          <w:szCs w:val="18"/>
        </w:rPr>
        <w:t>需求方提供的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>工业</w:t>
      </w:r>
      <w:r>
        <w:rPr>
          <w:rFonts w:ascii="宋体" w:hAnsi="宋体" w:eastAsia="宋体" w:cs="Times New Roman"/>
          <w:color w:val="auto"/>
          <w:sz w:val="18"/>
          <w:szCs w:val="18"/>
        </w:rPr>
        <w:t>废物（液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>）</w:t>
      </w:r>
      <w:r>
        <w:rPr>
          <w:rFonts w:ascii="宋体" w:hAnsi="宋体" w:eastAsia="宋体" w:cs="Times New Roman"/>
          <w:color w:val="auto"/>
          <w:sz w:val="18"/>
          <w:szCs w:val="18"/>
        </w:rPr>
        <w:t>种类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>，</w:t>
      </w:r>
      <w:r>
        <w:rPr>
          <w:rFonts w:ascii="宋体" w:hAnsi="宋体" w:eastAsia="宋体" w:cs="Times New Roman"/>
          <w:color w:val="auto"/>
          <w:sz w:val="18"/>
          <w:szCs w:val="18"/>
        </w:rPr>
        <w:t>经综合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 xml:space="preserve"> 考虑</w:t>
      </w:r>
      <w:r>
        <w:rPr>
          <w:rFonts w:ascii="宋体" w:hAnsi="宋体" w:eastAsia="宋体" w:cs="Times New Roman"/>
          <w:color w:val="auto"/>
          <w:sz w:val="18"/>
          <w:szCs w:val="18"/>
        </w:rPr>
        <w:t>处理工艺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>技术</w:t>
      </w:r>
      <w:r>
        <w:rPr>
          <w:rFonts w:ascii="宋体" w:hAnsi="宋体" w:eastAsia="宋体" w:cs="Times New Roman"/>
          <w:color w:val="auto"/>
          <w:sz w:val="18"/>
          <w:szCs w:val="18"/>
        </w:rPr>
        <w:t>成本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 xml:space="preserve"> ，服务</w:t>
      </w:r>
      <w:r>
        <w:rPr>
          <w:rFonts w:ascii="宋体" w:hAnsi="宋体" w:eastAsia="宋体" w:cs="Times New Roman"/>
          <w:color w:val="auto"/>
          <w:sz w:val="18"/>
          <w:szCs w:val="18"/>
        </w:rPr>
        <w:t>方报价如下：</w:t>
      </w:r>
    </w:p>
    <w:tbl>
      <w:tblPr>
        <w:tblStyle w:val="20"/>
        <w:tblW w:w="878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76"/>
        <w:gridCol w:w="1656"/>
        <w:gridCol w:w="694"/>
        <w:gridCol w:w="651"/>
        <w:gridCol w:w="951"/>
        <w:gridCol w:w="660"/>
        <w:gridCol w:w="883"/>
        <w:gridCol w:w="896"/>
        <w:gridCol w:w="655"/>
      </w:tblGrid>
      <w:tr w14:paraId="2EAFC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67" w:type="dxa"/>
            <w:vAlign w:val="center"/>
          </w:tcPr>
          <w:p w14:paraId="21F342C8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076" w:type="dxa"/>
            <w:vAlign w:val="center"/>
          </w:tcPr>
          <w:p w14:paraId="0C55B186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1656" w:type="dxa"/>
            <w:vAlign w:val="center"/>
          </w:tcPr>
          <w:p w14:paraId="4E88245E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废物编号</w:t>
            </w:r>
          </w:p>
        </w:tc>
        <w:tc>
          <w:tcPr>
            <w:tcW w:w="694" w:type="dxa"/>
            <w:vAlign w:val="center"/>
          </w:tcPr>
          <w:p w14:paraId="3431959A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年预</w:t>
            </w:r>
          </w:p>
          <w:p w14:paraId="57E7F6F3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计量</w:t>
            </w:r>
          </w:p>
        </w:tc>
        <w:tc>
          <w:tcPr>
            <w:tcW w:w="651" w:type="dxa"/>
            <w:vAlign w:val="center"/>
          </w:tcPr>
          <w:p w14:paraId="78F9A915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51" w:type="dxa"/>
            <w:vAlign w:val="center"/>
          </w:tcPr>
          <w:p w14:paraId="68E78BF4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包装</w:t>
            </w:r>
          </w:p>
          <w:p w14:paraId="1CD87E8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方式</w:t>
            </w:r>
          </w:p>
        </w:tc>
        <w:tc>
          <w:tcPr>
            <w:tcW w:w="660" w:type="dxa"/>
            <w:vAlign w:val="center"/>
          </w:tcPr>
          <w:p w14:paraId="387B7456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处理方式</w:t>
            </w:r>
          </w:p>
        </w:tc>
        <w:tc>
          <w:tcPr>
            <w:tcW w:w="883" w:type="dxa"/>
            <w:vAlign w:val="center"/>
          </w:tcPr>
          <w:p w14:paraId="732AD8E9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单价</w:t>
            </w:r>
          </w:p>
        </w:tc>
        <w:tc>
          <w:tcPr>
            <w:tcW w:w="896" w:type="dxa"/>
            <w:vAlign w:val="center"/>
          </w:tcPr>
          <w:p w14:paraId="4DD06266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655" w:type="dxa"/>
            <w:vAlign w:val="center"/>
          </w:tcPr>
          <w:p w14:paraId="4E5BB15B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备注</w:t>
            </w:r>
          </w:p>
        </w:tc>
      </w:tr>
      <w:tr w14:paraId="53752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7D03A84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bookmarkStart w:id="0" w:name="_Hlk206062435"/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76" w:type="dxa"/>
            <w:vAlign w:val="center"/>
          </w:tcPr>
          <w:p w14:paraId="7A6194D8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废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矿物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油</w:t>
            </w:r>
          </w:p>
        </w:tc>
        <w:tc>
          <w:tcPr>
            <w:tcW w:w="1656" w:type="dxa"/>
            <w:vAlign w:val="center"/>
          </w:tcPr>
          <w:p w14:paraId="4223C17E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HWO8(900-249-08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694" w:type="dxa"/>
            <w:vMerge w:val="restart"/>
            <w:vAlign w:val="center"/>
          </w:tcPr>
          <w:p w14:paraId="70C2D2B1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51" w:type="dxa"/>
            <w:vMerge w:val="restart"/>
            <w:vAlign w:val="center"/>
          </w:tcPr>
          <w:p w14:paraId="7D19BAE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吨</w:t>
            </w:r>
          </w:p>
        </w:tc>
        <w:tc>
          <w:tcPr>
            <w:tcW w:w="951" w:type="dxa"/>
            <w:vAlign w:val="center"/>
          </w:tcPr>
          <w:p w14:paraId="5F24DBDB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</w:t>
            </w:r>
          </w:p>
        </w:tc>
        <w:tc>
          <w:tcPr>
            <w:tcW w:w="660" w:type="dxa"/>
            <w:vAlign w:val="center"/>
          </w:tcPr>
          <w:p w14:paraId="24133E98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bookmarkStart w:id="1" w:name="OLE_LINK8"/>
            <w:bookmarkStart w:id="2" w:name="OLE_LINK7"/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焚烧</w:t>
            </w:r>
            <w:bookmarkEnd w:id="1"/>
            <w:bookmarkEnd w:id="2"/>
          </w:p>
        </w:tc>
        <w:tc>
          <w:tcPr>
            <w:tcW w:w="883" w:type="dxa"/>
            <w:vAlign w:val="center"/>
          </w:tcPr>
          <w:p w14:paraId="1155257D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0A8BDED7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元/吨</w:t>
            </w:r>
          </w:p>
        </w:tc>
        <w:tc>
          <w:tcPr>
            <w:tcW w:w="655" w:type="dxa"/>
            <w:vAlign w:val="center"/>
          </w:tcPr>
          <w:p w14:paraId="32F09AF3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bookmarkEnd w:id="0"/>
      <w:tr w14:paraId="3636D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4FBE9032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76" w:type="dxa"/>
            <w:vAlign w:val="center"/>
          </w:tcPr>
          <w:p w14:paraId="5CAEA4DB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其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他废物</w:t>
            </w:r>
          </w:p>
        </w:tc>
        <w:tc>
          <w:tcPr>
            <w:tcW w:w="1656" w:type="dxa"/>
            <w:vAlign w:val="center"/>
          </w:tcPr>
          <w:p w14:paraId="5330D340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HW49(900-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041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-49)</w:t>
            </w:r>
          </w:p>
        </w:tc>
        <w:tc>
          <w:tcPr>
            <w:tcW w:w="694" w:type="dxa"/>
            <w:vMerge w:val="continue"/>
            <w:vAlign w:val="center"/>
          </w:tcPr>
          <w:p w14:paraId="1325231B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 w14:paraId="12C08905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7F553FDB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（箱）</w:t>
            </w:r>
          </w:p>
        </w:tc>
        <w:tc>
          <w:tcPr>
            <w:tcW w:w="660" w:type="dxa"/>
            <w:vAlign w:val="center"/>
          </w:tcPr>
          <w:p w14:paraId="047FB9D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焚烧</w:t>
            </w:r>
          </w:p>
        </w:tc>
        <w:tc>
          <w:tcPr>
            <w:tcW w:w="883" w:type="dxa"/>
            <w:vAlign w:val="center"/>
          </w:tcPr>
          <w:p w14:paraId="3309E5CB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1DC1716B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元/吨</w:t>
            </w:r>
          </w:p>
        </w:tc>
        <w:tc>
          <w:tcPr>
            <w:tcW w:w="655" w:type="dxa"/>
            <w:vAlign w:val="center"/>
          </w:tcPr>
          <w:p w14:paraId="2128D317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tr w14:paraId="018C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71AA1E89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76" w:type="dxa"/>
            <w:vAlign w:val="center"/>
          </w:tcPr>
          <w:p w14:paraId="26626CB3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染料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、涂料废物</w:t>
            </w:r>
          </w:p>
        </w:tc>
        <w:tc>
          <w:tcPr>
            <w:tcW w:w="1656" w:type="dxa"/>
            <w:vAlign w:val="center"/>
          </w:tcPr>
          <w:p w14:paraId="3B6D71FA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HW12(900-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299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-12)</w:t>
            </w:r>
          </w:p>
        </w:tc>
        <w:tc>
          <w:tcPr>
            <w:tcW w:w="694" w:type="dxa"/>
            <w:vMerge w:val="continue"/>
            <w:vAlign w:val="center"/>
          </w:tcPr>
          <w:p w14:paraId="70BA69CC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 w14:paraId="3A79991E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65F3DDDA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桶（箱）</w:t>
            </w:r>
          </w:p>
        </w:tc>
        <w:tc>
          <w:tcPr>
            <w:tcW w:w="660" w:type="dxa"/>
            <w:vAlign w:val="center"/>
          </w:tcPr>
          <w:p w14:paraId="5792D8BF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焚烧</w:t>
            </w:r>
          </w:p>
        </w:tc>
        <w:tc>
          <w:tcPr>
            <w:tcW w:w="883" w:type="dxa"/>
            <w:vAlign w:val="center"/>
          </w:tcPr>
          <w:p w14:paraId="37920E73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79411D4D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元/吨</w:t>
            </w:r>
          </w:p>
        </w:tc>
        <w:tc>
          <w:tcPr>
            <w:tcW w:w="655" w:type="dxa"/>
            <w:vAlign w:val="center"/>
          </w:tcPr>
          <w:p w14:paraId="520E16C5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tr w14:paraId="75AEA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03D38ED5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14:paraId="661B371A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其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他废物</w:t>
            </w:r>
          </w:p>
        </w:tc>
        <w:tc>
          <w:tcPr>
            <w:tcW w:w="1656" w:type="dxa"/>
            <w:vAlign w:val="center"/>
          </w:tcPr>
          <w:p w14:paraId="3B9532B9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HW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49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(900-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047-49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694" w:type="dxa"/>
            <w:vMerge w:val="continue"/>
            <w:vAlign w:val="center"/>
          </w:tcPr>
          <w:p w14:paraId="65C7BF84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 w14:paraId="3B0B22C4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35417DB0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桶（箱）</w:t>
            </w:r>
          </w:p>
        </w:tc>
        <w:tc>
          <w:tcPr>
            <w:tcW w:w="660" w:type="dxa"/>
            <w:vAlign w:val="center"/>
          </w:tcPr>
          <w:p w14:paraId="2C7FA387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焚烧</w:t>
            </w:r>
          </w:p>
        </w:tc>
        <w:tc>
          <w:tcPr>
            <w:tcW w:w="883" w:type="dxa"/>
            <w:vAlign w:val="center"/>
          </w:tcPr>
          <w:p w14:paraId="37B13CAC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25716907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元/吨</w:t>
            </w:r>
          </w:p>
        </w:tc>
        <w:tc>
          <w:tcPr>
            <w:tcW w:w="655" w:type="dxa"/>
            <w:vAlign w:val="center"/>
          </w:tcPr>
          <w:p w14:paraId="0AD70385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tr w14:paraId="11CAD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4950684D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76" w:type="dxa"/>
            <w:vAlign w:val="center"/>
          </w:tcPr>
          <w:p w14:paraId="14C0B1F7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其他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废物（剧毒品）</w:t>
            </w:r>
          </w:p>
        </w:tc>
        <w:tc>
          <w:tcPr>
            <w:tcW w:w="1656" w:type="dxa"/>
            <w:vAlign w:val="center"/>
          </w:tcPr>
          <w:p w14:paraId="7A79F498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HW49(900-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047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694" w:type="dxa"/>
            <w:vMerge w:val="continue"/>
            <w:vAlign w:val="center"/>
          </w:tcPr>
          <w:p w14:paraId="33A96D85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 w14:paraId="05DB5C5D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4B73157B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（瓶）</w:t>
            </w:r>
          </w:p>
        </w:tc>
        <w:tc>
          <w:tcPr>
            <w:tcW w:w="660" w:type="dxa"/>
            <w:vAlign w:val="center"/>
          </w:tcPr>
          <w:p w14:paraId="190BE448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焚烧</w:t>
            </w:r>
          </w:p>
        </w:tc>
        <w:tc>
          <w:tcPr>
            <w:tcW w:w="883" w:type="dxa"/>
            <w:vAlign w:val="center"/>
          </w:tcPr>
          <w:p w14:paraId="78415467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7D4FE0B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公斤</w:t>
            </w:r>
          </w:p>
        </w:tc>
        <w:tc>
          <w:tcPr>
            <w:tcW w:w="655" w:type="dxa"/>
            <w:vAlign w:val="center"/>
          </w:tcPr>
          <w:p w14:paraId="7C6D8D18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tr w14:paraId="7CAD2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10"/>
            <w:vAlign w:val="center"/>
          </w:tcPr>
          <w:p w14:paraId="2D8FB205">
            <w:pPr>
              <w:tabs>
                <w:tab w:val="left" w:pos="701"/>
              </w:tabs>
              <w:spacing w:line="360" w:lineRule="exact"/>
              <w:ind w:firstLine="360"/>
              <w:jc w:val="left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备注：超出15吨部分的单价报价不得超过2600元/吨（元/公斤）</w:t>
            </w:r>
          </w:p>
        </w:tc>
      </w:tr>
    </w:tbl>
    <w:p w14:paraId="1AB0BC3F">
      <w:pPr>
        <w:ind w:firstLine="600" w:firstLineChars="200"/>
        <w:rPr>
          <w:rFonts w:hint="eastAsia" w:ascii="宋体" w:hAnsi="宋体" w:eastAsia="宋体" w:cs="Times New Roman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</w:rPr>
        <w:t>依</w:t>
      </w:r>
      <w:r>
        <w:rPr>
          <w:rFonts w:ascii="宋体" w:hAnsi="宋体" w:eastAsia="宋体" w:cs="Times New Roman"/>
          <w:color w:val="auto"/>
          <w:sz w:val="30"/>
          <w:szCs w:val="30"/>
        </w:rPr>
        <w:t>据以上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报价收取1年服务</w:t>
      </w:r>
      <w:r>
        <w:rPr>
          <w:rFonts w:ascii="宋体" w:hAnsi="宋体" w:eastAsia="宋体" w:cs="Times New Roman"/>
          <w:color w:val="auto"/>
          <w:sz w:val="30"/>
          <w:szCs w:val="30"/>
        </w:rPr>
        <w:t>费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（含税</w:t>
      </w:r>
      <w:r>
        <w:rPr>
          <w:rFonts w:ascii="宋体" w:hAnsi="宋体" w:eastAsia="宋体" w:cs="Times New Roman"/>
          <w:color w:val="auto"/>
          <w:sz w:val="30"/>
          <w:szCs w:val="30"/>
        </w:rPr>
        <w:t>，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全</w:t>
      </w:r>
      <w:r>
        <w:rPr>
          <w:rFonts w:ascii="宋体" w:hAnsi="宋体" w:eastAsia="宋体" w:cs="Times New Roman"/>
          <w:color w:val="auto"/>
          <w:sz w:val="30"/>
          <w:szCs w:val="30"/>
        </w:rPr>
        <w:t>年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包干</w:t>
      </w:r>
      <w:r>
        <w:rPr>
          <w:rFonts w:ascii="宋体" w:hAnsi="宋体" w:eastAsia="宋体" w:cs="Times New Roman"/>
          <w:color w:val="auto"/>
          <w:sz w:val="30"/>
          <w:szCs w:val="30"/>
        </w:rPr>
        <w:t>处理量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15吨</w:t>
      </w:r>
      <w:r>
        <w:rPr>
          <w:rFonts w:ascii="宋体" w:hAnsi="宋体" w:eastAsia="宋体" w:cs="Times New Roman"/>
          <w:color w:val="auto"/>
          <w:sz w:val="30"/>
          <w:szCs w:val="30"/>
        </w:rPr>
        <w:t>）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：</w:t>
      </w:r>
      <w:r>
        <w:rPr>
          <w:rFonts w:ascii="宋体" w:hAnsi="宋体" w:eastAsia="宋体" w:cs="Times New Roman"/>
          <w:color w:val="auto"/>
          <w:sz w:val="30"/>
          <w:szCs w:val="30"/>
        </w:rPr>
        <w:t>人民币</w:t>
      </w:r>
      <w:r>
        <w:rPr>
          <w:rFonts w:hint="eastAsia" w:ascii="宋体" w:hAnsi="宋体" w:eastAsia="宋体" w:cs="Times New Roman"/>
          <w:color w:val="auto"/>
          <w:sz w:val="30"/>
          <w:szCs w:val="30"/>
          <w:u w:val="single"/>
        </w:rPr>
        <w:t xml:space="preserve">  </w:t>
      </w:r>
      <w:r>
        <w:rPr>
          <w:rFonts w:ascii="宋体" w:hAnsi="宋体" w:eastAsia="宋体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auto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元，超过15吨</w:t>
      </w:r>
      <w:r>
        <w:rPr>
          <w:rFonts w:ascii="宋体" w:hAnsi="宋体" w:eastAsia="宋体" w:cs="Times New Roman"/>
          <w:color w:val="auto"/>
          <w:sz w:val="30"/>
          <w:szCs w:val="30"/>
        </w:rPr>
        <w:t>按表格所列单价结算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。</w:t>
      </w:r>
      <w:r>
        <w:rPr>
          <w:rFonts w:hint="eastAsia" w:ascii="宋体" w:hAnsi="宋体" w:eastAsia="宋体" w:cs="Times New Roman"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sz w:val="30"/>
          <w:szCs w:val="30"/>
          <w:lang w:val="en-US" w:eastAsia="zh-CN"/>
        </w:rPr>
        <w:t>包干价限高价为50000元，超过视为无效报价</w:t>
      </w:r>
      <w:r>
        <w:rPr>
          <w:rFonts w:hint="eastAsia" w:ascii="宋体" w:hAnsi="宋体" w:eastAsia="宋体" w:cs="Times New Roman"/>
          <w:color w:val="auto"/>
          <w:sz w:val="30"/>
          <w:szCs w:val="30"/>
          <w:lang w:eastAsia="zh-CN"/>
        </w:rPr>
        <w:t>）</w:t>
      </w:r>
    </w:p>
    <w:p w14:paraId="0932705E">
      <w:pPr>
        <w:ind w:firstLine="602" w:firstLineChars="200"/>
        <w:rPr>
          <w:rFonts w:ascii="宋体" w:hAnsi="宋体" w:eastAsia="宋体" w:cs="Times New Roman"/>
          <w:b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二</w:t>
      </w:r>
      <w:r>
        <w:rPr>
          <w:rFonts w:ascii="宋体" w:hAnsi="宋体" w:eastAsia="宋体" w:cs="Times New Roman"/>
          <w:b/>
          <w:color w:val="auto"/>
          <w:sz w:val="30"/>
          <w:szCs w:val="30"/>
        </w:rPr>
        <w:t>、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车辆运输费报价</w:t>
      </w:r>
      <w:r>
        <w:rPr>
          <w:rFonts w:ascii="宋体" w:hAnsi="宋体" w:eastAsia="宋体" w:cs="Times New Roman"/>
          <w:b/>
          <w:color w:val="auto"/>
          <w:sz w:val="30"/>
          <w:szCs w:val="30"/>
        </w:rPr>
        <w:t>单：</w:t>
      </w:r>
    </w:p>
    <w:p w14:paraId="6F0D7174">
      <w:pPr>
        <w:ind w:firstLine="600" w:firstLineChars="200"/>
        <w:rPr>
          <w:rFonts w:ascii="宋体" w:hAnsi="宋体" w:eastAsia="宋体" w:cs="Times New Roman"/>
          <w:color w:val="auto"/>
          <w:sz w:val="30"/>
          <w:szCs w:val="30"/>
        </w:rPr>
      </w:pPr>
      <w:bookmarkStart w:id="3" w:name="OLE_LINK6"/>
      <w:r>
        <w:rPr>
          <w:rFonts w:hint="eastAsia" w:ascii="宋体" w:hAnsi="宋体" w:eastAsia="宋体" w:cs="Times New Roman"/>
          <w:color w:val="auto"/>
          <w:sz w:val="30"/>
          <w:szCs w:val="30"/>
        </w:rPr>
        <w:t>5吨荷载</w:t>
      </w:r>
      <w:r>
        <w:rPr>
          <w:rFonts w:ascii="宋体" w:hAnsi="宋体" w:eastAsia="宋体" w:cs="Times New Roman"/>
          <w:color w:val="auto"/>
          <w:sz w:val="30"/>
          <w:szCs w:val="30"/>
        </w:rPr>
        <w:t>车辆</w:t>
      </w:r>
      <w:r>
        <w:rPr>
          <w:rFonts w:hint="eastAsia" w:ascii="宋体" w:hAnsi="宋体" w:eastAsia="宋体" w:cs="Times New Roman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元/车</w:t>
      </w:r>
      <w:r>
        <w:rPr>
          <w:rFonts w:ascii="宋体" w:hAnsi="宋体" w:eastAsia="宋体" w:cs="Times New Roman"/>
          <w:color w:val="auto"/>
          <w:sz w:val="30"/>
          <w:szCs w:val="30"/>
        </w:rPr>
        <w:t>次</w:t>
      </w:r>
      <w:bookmarkEnd w:id="3"/>
      <w:r>
        <w:rPr>
          <w:rFonts w:ascii="宋体" w:hAnsi="宋体" w:eastAsia="宋体" w:cs="Times New Roman"/>
          <w:color w:val="auto"/>
          <w:sz w:val="30"/>
          <w:szCs w:val="30"/>
        </w:rPr>
        <w:t>。以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上</w:t>
      </w:r>
      <w:r>
        <w:rPr>
          <w:rFonts w:ascii="宋体" w:hAnsi="宋体" w:eastAsia="宋体" w:cs="Times New Roman"/>
          <w:color w:val="auto"/>
          <w:sz w:val="30"/>
          <w:szCs w:val="30"/>
        </w:rPr>
        <w:t>报价含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上</w:t>
      </w:r>
      <w:r>
        <w:rPr>
          <w:rFonts w:ascii="宋体" w:hAnsi="宋体" w:eastAsia="宋体" w:cs="Times New Roman"/>
          <w:color w:val="auto"/>
          <w:sz w:val="30"/>
          <w:szCs w:val="30"/>
        </w:rPr>
        <w:t>车装货到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卸货</w:t>
      </w:r>
      <w:r>
        <w:rPr>
          <w:rFonts w:ascii="宋体" w:hAnsi="宋体" w:eastAsia="宋体" w:cs="Times New Roman"/>
          <w:color w:val="auto"/>
          <w:sz w:val="30"/>
          <w:szCs w:val="30"/>
        </w:rPr>
        <w:t>的搬运人工费、所有过路费、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保险</w:t>
      </w:r>
      <w:r>
        <w:rPr>
          <w:rFonts w:ascii="宋体" w:hAnsi="宋体" w:eastAsia="宋体" w:cs="Times New Roman"/>
          <w:color w:val="auto"/>
          <w:sz w:val="30"/>
          <w:szCs w:val="30"/>
        </w:rPr>
        <w:t>费、车辆维护费、税费等所有费用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，</w:t>
      </w:r>
      <w:r>
        <w:rPr>
          <w:rFonts w:ascii="宋体" w:hAnsi="宋体" w:eastAsia="宋体" w:cs="Times New Roman"/>
          <w:color w:val="auto"/>
          <w:sz w:val="30"/>
          <w:szCs w:val="30"/>
        </w:rPr>
        <w:t>不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含</w:t>
      </w:r>
      <w:r>
        <w:rPr>
          <w:rFonts w:ascii="宋体" w:hAnsi="宋体" w:eastAsia="宋体" w:cs="Times New Roman"/>
          <w:color w:val="auto"/>
          <w:sz w:val="30"/>
          <w:szCs w:val="30"/>
        </w:rPr>
        <w:t>打包收取的服务费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。</w:t>
      </w:r>
    </w:p>
    <w:p w14:paraId="5A756651">
      <w:pPr>
        <w:ind w:firstLine="600" w:firstLineChars="200"/>
        <w:rPr>
          <w:rFonts w:ascii="宋体" w:hAnsi="宋体" w:eastAsia="宋体" w:cs="Times New Roman"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</w:rPr>
        <w:t>以上</w:t>
      </w:r>
      <w:r>
        <w:rPr>
          <w:rFonts w:ascii="宋体" w:hAnsi="宋体" w:eastAsia="宋体" w:cs="Times New Roman"/>
          <w:color w:val="auto"/>
          <w:sz w:val="30"/>
          <w:szCs w:val="30"/>
        </w:rPr>
        <w:t>报价有限期为1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年，价格</w:t>
      </w:r>
      <w:r>
        <w:rPr>
          <w:rFonts w:ascii="宋体" w:hAnsi="宋体" w:eastAsia="宋体" w:cs="Times New Roman"/>
          <w:color w:val="auto"/>
          <w:sz w:val="30"/>
          <w:szCs w:val="30"/>
        </w:rPr>
        <w:t>不随市场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价格</w:t>
      </w:r>
      <w:r>
        <w:rPr>
          <w:rFonts w:ascii="宋体" w:hAnsi="宋体" w:eastAsia="宋体" w:cs="Times New Roman"/>
          <w:color w:val="auto"/>
          <w:sz w:val="30"/>
          <w:szCs w:val="30"/>
        </w:rPr>
        <w:t>的波动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而调整</w:t>
      </w:r>
      <w:r>
        <w:rPr>
          <w:rFonts w:ascii="宋体" w:hAnsi="宋体" w:eastAsia="宋体" w:cs="Times New Roman"/>
          <w:color w:val="auto"/>
          <w:sz w:val="30"/>
          <w:szCs w:val="30"/>
        </w:rPr>
        <w:t>。</w:t>
      </w:r>
    </w:p>
    <w:p w14:paraId="71C66EE4">
      <w:pPr>
        <w:ind w:firstLine="600" w:firstLineChars="200"/>
        <w:rPr>
          <w:rFonts w:ascii="宋体" w:hAnsi="宋体" w:eastAsia="宋体" w:cs="Times New Roman"/>
          <w:color w:val="auto"/>
          <w:sz w:val="30"/>
          <w:szCs w:val="30"/>
        </w:rPr>
      </w:pPr>
    </w:p>
    <w:p w14:paraId="24A7B012">
      <w:pPr>
        <w:ind w:firstLine="2380" w:firstLineChars="850"/>
        <w:rPr>
          <w:color w:val="auto"/>
          <w:sz w:val="28"/>
          <w:szCs w:val="28"/>
        </w:rPr>
      </w:pPr>
    </w:p>
    <w:p w14:paraId="542A0D98">
      <w:pPr>
        <w:ind w:firstLine="4340" w:firstLineChars="155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报价单位（盖章</w:t>
      </w:r>
      <w:r>
        <w:rPr>
          <w:color w:val="auto"/>
          <w:sz w:val="28"/>
          <w:szCs w:val="28"/>
        </w:rPr>
        <w:t>）</w:t>
      </w:r>
      <w:r>
        <w:rPr>
          <w:rFonts w:hint="eastAsia"/>
          <w:color w:val="auto"/>
          <w:sz w:val="28"/>
          <w:szCs w:val="28"/>
        </w:rPr>
        <w:t>：</w:t>
      </w:r>
    </w:p>
    <w:p w14:paraId="3BE5C3AA">
      <w:pPr>
        <w:ind w:firstLine="4340" w:firstLineChars="155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日期</w:t>
      </w:r>
      <w:r>
        <w:rPr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0A0DB"/>
    <w:multiLevelType w:val="singleLevel"/>
    <w:tmpl w:val="4180A0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172A27"/>
    <w:rsid w:val="00061842"/>
    <w:rsid w:val="00080BD3"/>
    <w:rsid w:val="000951BE"/>
    <w:rsid w:val="000B4B80"/>
    <w:rsid w:val="000F0D91"/>
    <w:rsid w:val="0014628E"/>
    <w:rsid w:val="00172A27"/>
    <w:rsid w:val="001730E6"/>
    <w:rsid w:val="00193B2B"/>
    <w:rsid w:val="00204B57"/>
    <w:rsid w:val="00233F60"/>
    <w:rsid w:val="0028252E"/>
    <w:rsid w:val="002A484E"/>
    <w:rsid w:val="003E3C8A"/>
    <w:rsid w:val="004955C1"/>
    <w:rsid w:val="004C5AD8"/>
    <w:rsid w:val="00500263"/>
    <w:rsid w:val="00523842"/>
    <w:rsid w:val="00574C82"/>
    <w:rsid w:val="006C6CCE"/>
    <w:rsid w:val="007A47B3"/>
    <w:rsid w:val="007C181E"/>
    <w:rsid w:val="00886FEF"/>
    <w:rsid w:val="009F7883"/>
    <w:rsid w:val="00A105CB"/>
    <w:rsid w:val="00A340EF"/>
    <w:rsid w:val="00A47C68"/>
    <w:rsid w:val="00A95B83"/>
    <w:rsid w:val="00AC7401"/>
    <w:rsid w:val="00AF0C14"/>
    <w:rsid w:val="00B37C99"/>
    <w:rsid w:val="00BE622D"/>
    <w:rsid w:val="00C02507"/>
    <w:rsid w:val="00D107B9"/>
    <w:rsid w:val="00D50680"/>
    <w:rsid w:val="00E720A1"/>
    <w:rsid w:val="00E80DDD"/>
    <w:rsid w:val="00EB0308"/>
    <w:rsid w:val="00F3791E"/>
    <w:rsid w:val="00F559AF"/>
    <w:rsid w:val="01CB297C"/>
    <w:rsid w:val="03D12BAA"/>
    <w:rsid w:val="043A35D9"/>
    <w:rsid w:val="06C638E3"/>
    <w:rsid w:val="09B0227A"/>
    <w:rsid w:val="0A7D08EF"/>
    <w:rsid w:val="0BF321CC"/>
    <w:rsid w:val="0C5A18DE"/>
    <w:rsid w:val="0EBE1DF1"/>
    <w:rsid w:val="0FC84B6A"/>
    <w:rsid w:val="10F86781"/>
    <w:rsid w:val="110414F5"/>
    <w:rsid w:val="11A67F1D"/>
    <w:rsid w:val="138E0413"/>
    <w:rsid w:val="139E2979"/>
    <w:rsid w:val="141F23CC"/>
    <w:rsid w:val="178A7F7B"/>
    <w:rsid w:val="18B53886"/>
    <w:rsid w:val="1B255BD0"/>
    <w:rsid w:val="1ECF7D63"/>
    <w:rsid w:val="1F307147"/>
    <w:rsid w:val="213B0B86"/>
    <w:rsid w:val="215D2DC3"/>
    <w:rsid w:val="225E0E38"/>
    <w:rsid w:val="22A21616"/>
    <w:rsid w:val="25404F7A"/>
    <w:rsid w:val="26446337"/>
    <w:rsid w:val="28F96979"/>
    <w:rsid w:val="2AE55B0C"/>
    <w:rsid w:val="2C695F59"/>
    <w:rsid w:val="2C9129A5"/>
    <w:rsid w:val="2EDC2CF9"/>
    <w:rsid w:val="337221BD"/>
    <w:rsid w:val="38665C15"/>
    <w:rsid w:val="38C8511B"/>
    <w:rsid w:val="3A431329"/>
    <w:rsid w:val="3E9D3EF0"/>
    <w:rsid w:val="3F726556"/>
    <w:rsid w:val="421D3616"/>
    <w:rsid w:val="452777ED"/>
    <w:rsid w:val="47BB4657"/>
    <w:rsid w:val="47F00E85"/>
    <w:rsid w:val="4A4B039E"/>
    <w:rsid w:val="4A7F29C9"/>
    <w:rsid w:val="4ABD43D0"/>
    <w:rsid w:val="4E0805B8"/>
    <w:rsid w:val="4EA4073F"/>
    <w:rsid w:val="535C6E92"/>
    <w:rsid w:val="55F1744D"/>
    <w:rsid w:val="594E0CDF"/>
    <w:rsid w:val="5B743E4F"/>
    <w:rsid w:val="5C8E79B5"/>
    <w:rsid w:val="5F764B7B"/>
    <w:rsid w:val="60494F5F"/>
    <w:rsid w:val="60FB7B42"/>
    <w:rsid w:val="68B732C1"/>
    <w:rsid w:val="696F21A2"/>
    <w:rsid w:val="6ADD08B6"/>
    <w:rsid w:val="6B834DB8"/>
    <w:rsid w:val="6F05287B"/>
    <w:rsid w:val="74116287"/>
    <w:rsid w:val="743069A4"/>
    <w:rsid w:val="761855A7"/>
    <w:rsid w:val="77347DE5"/>
    <w:rsid w:val="77B252CF"/>
    <w:rsid w:val="7AAD3D95"/>
    <w:rsid w:val="7B0D52CF"/>
    <w:rsid w:val="7BA448B7"/>
    <w:rsid w:val="7DA62C8D"/>
    <w:rsid w:val="7F1072DF"/>
    <w:rsid w:val="7FF2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批注框文本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网格型1"/>
    <w:basedOn w:val="6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3123</Words>
  <Characters>3316</Characters>
  <Lines>24</Lines>
  <Paragraphs>7</Paragraphs>
  <TotalTime>1</TotalTime>
  <ScaleCrop>false</ScaleCrop>
  <LinksUpToDate>false</LinksUpToDate>
  <CharactersWithSpaces>3393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2025-08-14T07:04:00Z</dcterms:created>
  <dc:creator>bgs</dc:creator>
  <cp:lastModifiedBy>游弋</cp:lastModifiedBy>
  <cp:lastPrinted>2025-09-28T08:31:18Z</cp:lastPrinted>
  <dcterms:modified xsi:type="dcterms:W3CDTF">2025-09-28T08:32:45Z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6EB0E72DC72B44E49AB08A6FDF4ED674_13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