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FDE41">
      <w:pPr>
        <w:jc w:val="center"/>
        <w:rPr>
          <w:rFonts w:ascii="方正小标宋简体" w:eastAsia="方正小标宋简体"/>
          <w:sz w:val="44"/>
          <w:szCs w:val="44"/>
        </w:rPr>
      </w:pPr>
      <w:r>
        <w:rPr>
          <w:rFonts w:hint="eastAsia" w:ascii="方正小标宋简体" w:eastAsia="方正小标宋简体"/>
          <w:sz w:val="44"/>
          <w:szCs w:val="44"/>
        </w:rPr>
        <w:t>福建省质检院宣传及新媒体技术服务采购需求</w:t>
      </w:r>
    </w:p>
    <w:p w14:paraId="222C69FF">
      <w:pPr>
        <w:rPr>
          <w:sz w:val="32"/>
          <w:szCs w:val="40"/>
        </w:rPr>
      </w:pPr>
      <w:r>
        <w:rPr>
          <w:rFonts w:hint="eastAsia"/>
          <w:sz w:val="32"/>
          <w:szCs w:val="40"/>
        </w:rPr>
        <w:t xml:space="preserve">                                       </w:t>
      </w:r>
      <w:bookmarkStart w:id="0" w:name="_GoBack"/>
      <w:bookmarkEnd w:id="0"/>
      <w:r>
        <w:rPr>
          <w:rFonts w:hint="eastAsia"/>
          <w:sz w:val="32"/>
          <w:szCs w:val="40"/>
        </w:rPr>
        <w:t xml:space="preserve">                </w:t>
      </w:r>
    </w:p>
    <w:p w14:paraId="46D54E22">
      <w:pPr>
        <w:numPr>
          <w:ilvl w:val="0"/>
          <w:numId w:val="1"/>
        </w:numPr>
        <w:spacing w:line="590" w:lineRule="exact"/>
        <w:rPr>
          <w:b/>
          <w:bCs/>
          <w:sz w:val="28"/>
          <w:szCs w:val="36"/>
        </w:rPr>
      </w:pPr>
      <w:r>
        <w:rPr>
          <w:rFonts w:hint="eastAsia"/>
          <w:b/>
          <w:bCs/>
          <w:sz w:val="28"/>
          <w:szCs w:val="36"/>
        </w:rPr>
        <w:t>项目概况</w:t>
      </w:r>
    </w:p>
    <w:p w14:paraId="067C40FD">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旨在全方位树立我院良好形象，营造积极舆论氛围。计划借助权威媒体《中国质量报》力量，围绕服务地方经济、“843”战略实施、赋能产业、机制创新等关键方面，对我院工作展开深度全面报道，展现骨干支撑作用。同时，依托微信公众号技术服务，对图文、视频类宣传内容及版面进行专业化设计与精细化制作，按需灵活、及时更新内容，多角度呈现我院卓越风采与显著成就，提升宣传整体效果 。</w:t>
      </w:r>
    </w:p>
    <w:p w14:paraId="7A36A554">
      <w:pPr>
        <w:jc w:val="left"/>
        <w:rPr>
          <w:b/>
          <w:bCs/>
          <w:sz w:val="28"/>
          <w:szCs w:val="36"/>
        </w:rPr>
      </w:pPr>
      <w:r>
        <w:rPr>
          <w:rFonts w:hint="eastAsia"/>
          <w:b/>
          <w:bCs/>
          <w:sz w:val="28"/>
          <w:szCs w:val="36"/>
        </w:rPr>
        <w:t>项目预算及福建省质检院宣传及新媒体技术服务报价单</w:t>
      </w:r>
    </w:p>
    <w:p w14:paraId="4B455A7E">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项目：预算金额为</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万元，本次招标福建省质检院宣划及新媒体技术服务报价单如下：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2058"/>
        <w:gridCol w:w="2758"/>
      </w:tblGrid>
      <w:tr w14:paraId="7AF5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Pr>
          <w:p w14:paraId="07C9A5BC">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报价内容</w:t>
            </w:r>
          </w:p>
        </w:tc>
        <w:tc>
          <w:tcPr>
            <w:tcW w:w="2058" w:type="dxa"/>
          </w:tcPr>
          <w:p w14:paraId="5CDBF2FE">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最高限价</w:t>
            </w:r>
          </w:p>
        </w:tc>
        <w:tc>
          <w:tcPr>
            <w:tcW w:w="2758" w:type="dxa"/>
          </w:tcPr>
          <w:p w14:paraId="24E01189">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供应商报价</w:t>
            </w:r>
          </w:p>
        </w:tc>
      </w:tr>
      <w:tr w14:paraId="1F8A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vAlign w:val="center"/>
          </w:tcPr>
          <w:p w14:paraId="079E804A">
            <w:pPr>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福建省质检院</w:t>
            </w:r>
            <w:r>
              <w:rPr>
                <w:rFonts w:hint="eastAsia" w:ascii="Times New Roman" w:hAnsi="Times New Roman" w:eastAsia="仿宋_GB2312" w:cs="Times New Roman"/>
                <w:b/>
                <w:bCs/>
                <w:sz w:val="32"/>
                <w:szCs w:val="32"/>
              </w:rPr>
              <w:t>宣传及新媒体技术服务</w:t>
            </w:r>
          </w:p>
        </w:tc>
        <w:tc>
          <w:tcPr>
            <w:tcW w:w="2058" w:type="dxa"/>
            <w:vAlign w:val="center"/>
          </w:tcPr>
          <w:p w14:paraId="50107554">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300000</w:t>
            </w:r>
          </w:p>
        </w:tc>
        <w:tc>
          <w:tcPr>
            <w:tcW w:w="2758" w:type="dxa"/>
          </w:tcPr>
          <w:p w14:paraId="480C75DA">
            <w:pPr>
              <w:ind w:firstLine="640" w:firstLineChars="200"/>
              <w:jc w:val="left"/>
              <w:rPr>
                <w:rFonts w:ascii="Times New Roman" w:hAnsi="Times New Roman" w:eastAsia="仿宋_GB2312" w:cs="Times New Roman"/>
                <w:sz w:val="32"/>
                <w:szCs w:val="32"/>
              </w:rPr>
            </w:pPr>
          </w:p>
        </w:tc>
      </w:tr>
      <w:tr w14:paraId="7DE0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8" w:type="dxa"/>
            <w:gridSpan w:val="2"/>
          </w:tcPr>
          <w:p w14:paraId="1C0E05A3">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合计：</w:t>
            </w:r>
          </w:p>
        </w:tc>
        <w:tc>
          <w:tcPr>
            <w:tcW w:w="2758" w:type="dxa"/>
          </w:tcPr>
          <w:p w14:paraId="3D87361A">
            <w:pPr>
              <w:ind w:firstLine="640" w:firstLineChars="200"/>
              <w:jc w:val="left"/>
              <w:rPr>
                <w:rFonts w:ascii="Times New Roman" w:hAnsi="Times New Roman" w:eastAsia="仿宋_GB2312" w:cs="Times New Roman"/>
                <w:sz w:val="32"/>
                <w:szCs w:val="32"/>
              </w:rPr>
            </w:pPr>
          </w:p>
        </w:tc>
      </w:tr>
    </w:tbl>
    <w:p w14:paraId="1CCA66CC">
      <w:pPr>
        <w:numPr>
          <w:ilvl w:val="0"/>
          <w:numId w:val="1"/>
        </w:numPr>
        <w:spacing w:line="590" w:lineRule="exact"/>
        <w:rPr>
          <w:b/>
          <w:bCs/>
          <w:sz w:val="28"/>
          <w:szCs w:val="36"/>
        </w:rPr>
      </w:pPr>
      <w:r>
        <w:rPr>
          <w:rFonts w:hint="eastAsia"/>
          <w:b/>
          <w:bCs/>
          <w:sz w:val="28"/>
          <w:szCs w:val="36"/>
        </w:rPr>
        <w:t>技术和服务要求</w:t>
      </w:r>
    </w:p>
    <w:p w14:paraId="3A1B985A">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1.相关成果在中国质量报推广15篇（次）；</w:t>
      </w:r>
    </w:p>
    <w:p w14:paraId="699D2ADF">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2.中国质量新闻网推广13</w:t>
      </w:r>
      <w:r>
        <w:rPr>
          <w:rFonts w:ascii="Times New Roman" w:hAnsi="Times New Roman" w:eastAsia="仿宋_GB2312" w:cs="Times New Roman"/>
          <w:sz w:val="32"/>
          <w:szCs w:val="32"/>
        </w:rPr>
        <w:t>篇（次）；</w:t>
      </w:r>
    </w:p>
    <w:p w14:paraId="018CC780">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3.学习强国平台转载8</w:t>
      </w:r>
      <w:r>
        <w:rPr>
          <w:rFonts w:ascii="Times New Roman" w:hAnsi="Times New Roman" w:eastAsia="仿宋_GB2312" w:cs="Times New Roman"/>
          <w:color w:val="000000"/>
          <w:kern w:val="0"/>
          <w:sz w:val="32"/>
          <w:szCs w:val="32"/>
        </w:rPr>
        <w:t>条</w:t>
      </w:r>
      <w:r>
        <w:rPr>
          <w:rFonts w:ascii="Times New Roman" w:hAnsi="Times New Roman" w:eastAsia="仿宋_GB2312" w:cs="Times New Roman"/>
          <w:sz w:val="32"/>
          <w:szCs w:val="32"/>
        </w:rPr>
        <w:t>展示；</w:t>
      </w:r>
    </w:p>
    <w:p w14:paraId="33ED90A6">
      <w:pPr>
        <w:pStyle w:val="5"/>
        <w:widowControl/>
        <w:spacing w:before="0" w:beforeAutospacing="0" w:after="0" w:afterAutospacing="0"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4.定制排期技术。根据院微信公众号实际情况，设置发送次数技术安排，每次1-2篇，每周1-5次。遇突发新闻或重大政策发布，从技术角度增加信息推送条数； </w:t>
      </w:r>
    </w:p>
    <w:p w14:paraId="18569442">
      <w:pPr>
        <w:pStyle w:val="5"/>
        <w:widowControl/>
        <w:spacing w:before="0" w:beforeAutospacing="0" w:after="0" w:afterAutospacing="0"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5.定制推送类型包含：政策发布（解读）类、新闻资讯类、线上活动类、服务咨询类、科普类等（为特殊节点和需求推出专栏和专题活动提供技术支撑） ；</w:t>
      </w:r>
    </w:p>
    <w:p w14:paraId="6B80CD09">
      <w:pPr>
        <w:pStyle w:val="5"/>
        <w:widowControl/>
        <w:spacing w:before="0" w:beforeAutospacing="0" w:after="0" w:afterAutospacing="0"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6.全页面设计。提供推文BANNER头底部图片定制设计，包括矢量图、横幅、GIF等，可以有效提高院公众号识别度； </w:t>
      </w:r>
    </w:p>
    <w:p w14:paraId="625A98C1">
      <w:pPr>
        <w:pStyle w:val="5"/>
        <w:widowControl/>
        <w:spacing w:before="0" w:beforeAutospacing="0" w:after="0" w:afterAutospacing="0"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7.推文封面、排版分类设计。根据不同类别的推文方向设计专属推文封面，以创意图和平面设计图为主。为院定制符合其调性的推文排版风格，规范文字字体、字号、间距、附图风格等； </w:t>
      </w:r>
    </w:p>
    <w:p w14:paraId="5C2A8D60">
      <w:pPr>
        <w:pStyle w:val="5"/>
        <w:widowControl/>
        <w:spacing w:before="0" w:beforeAutospacing="0" w:after="0" w:afterAutospacing="0"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8.长图文创意设计。在特定主题下提供“一图读懂”类长图文设计，设计内容需包含委托方需求内容，文件格式可指定为PDF或JPG；</w:t>
      </w:r>
    </w:p>
    <w:p w14:paraId="183062FB">
      <w:pPr>
        <w:pStyle w:val="5"/>
        <w:widowControl/>
        <w:spacing w:before="0" w:beforeAutospacing="0" w:after="0" w:afterAutospacing="0"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9.SVG设计。根据实际情况提供与文稿内容、排版基调相匹配的SVG设计，以增强排版趣味性；</w:t>
      </w:r>
    </w:p>
    <w:p w14:paraId="3505F8B0">
      <w:pPr>
        <w:pStyle w:val="5"/>
        <w:widowControl/>
        <w:spacing w:before="0" w:beforeAutospacing="0" w:after="0" w:afterAutospacing="0"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10.非原创图文优化设计。对于非原创内容，提供排版润色、美工优化、配图服务。</w:t>
      </w:r>
    </w:p>
    <w:p w14:paraId="6AE4C6E0">
      <w:pPr>
        <w:pStyle w:val="5"/>
        <w:widowControl/>
        <w:spacing w:before="0" w:beforeAutospacing="0" w:after="0" w:afterAutospacing="0" w:line="590" w:lineRule="exact"/>
        <w:ind w:firstLine="640" w:firstLineChars="200"/>
        <w:jc w:val="both"/>
        <w:rPr>
          <w:rFonts w:ascii="Times New Roman" w:hAnsi="Times New Roman" w:eastAsia="仿宋_GB2312"/>
          <w:b/>
          <w:color w:val="333333"/>
          <w:sz w:val="32"/>
          <w:szCs w:val="32"/>
          <w:u w:val="single"/>
          <w:shd w:val="clear" w:color="auto" w:fill="FEFEFE"/>
        </w:rPr>
      </w:pPr>
      <w:r>
        <w:rPr>
          <w:rFonts w:ascii="Times New Roman" w:hAnsi="Times New Roman" w:eastAsia="仿宋_GB2312"/>
          <w:sz w:val="32"/>
          <w:szCs w:val="32"/>
        </w:rPr>
        <w:t xml:space="preserve"> </w:t>
      </w:r>
    </w:p>
    <w:p w14:paraId="3AFBA47F">
      <w:pPr>
        <w:pStyle w:val="20"/>
        <w:numPr>
          <w:ilvl w:val="0"/>
          <w:numId w:val="2"/>
        </w:numPr>
        <w:ind w:firstLineChars="0"/>
        <w:jc w:val="left"/>
        <w:rPr>
          <w:rFonts w:eastAsiaTheme="minorEastAsia"/>
          <w:b/>
          <w:bCs/>
          <w:sz w:val="28"/>
          <w:szCs w:val="36"/>
        </w:rPr>
      </w:pPr>
      <w:r>
        <w:rPr>
          <w:rFonts w:hint="eastAsia"/>
          <w:b/>
          <w:bCs/>
          <w:sz w:val="28"/>
          <w:szCs w:val="36"/>
        </w:rPr>
        <w:t>评分办法</w:t>
      </w:r>
    </w:p>
    <w:tbl>
      <w:tblPr>
        <w:tblStyle w:val="6"/>
        <w:tblpPr w:leftFromText="180" w:rightFromText="180" w:vertAnchor="text" w:horzAnchor="page" w:tblpX="1751" w:tblpY="671"/>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5"/>
        <w:gridCol w:w="1259"/>
        <w:gridCol w:w="5598"/>
      </w:tblGrid>
      <w:tr w14:paraId="3728A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1" w:type="dxa"/>
            <w:gridSpan w:val="3"/>
            <w:vAlign w:val="center"/>
          </w:tcPr>
          <w:p w14:paraId="7899459C">
            <w:pPr>
              <w:pStyle w:val="21"/>
              <w:framePr w:hSpace="0" w:wrap="auto" w:vAnchor="margin" w:hAnchor="text" w:xAlign="left" w:yAlign="inline"/>
              <w:rPr>
                <w:rFonts w:hint="default"/>
              </w:rPr>
            </w:pPr>
            <w:r>
              <w:t>商务项(</w:t>
            </w:r>
            <w:r>
              <w:rPr>
                <w:rFonts w:hint="default"/>
              </w:rPr>
              <w:t>F1)</w:t>
            </w:r>
            <w:r>
              <w:t xml:space="preserve"> 满分为</w:t>
            </w:r>
            <w:r>
              <w:rPr>
                <w:rFonts w:hint="default"/>
              </w:rPr>
              <w:t>2</w:t>
            </w:r>
            <w:r>
              <w:t>0.00分</w:t>
            </w:r>
          </w:p>
        </w:tc>
      </w:tr>
      <w:tr w14:paraId="5223F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14:paraId="425E32A7">
            <w:pPr>
              <w:pStyle w:val="21"/>
              <w:framePr w:hSpace="0" w:wrap="auto" w:vAnchor="margin" w:hAnchor="text" w:xAlign="left" w:yAlign="inline"/>
              <w:rPr>
                <w:rFonts w:hint="default"/>
              </w:rPr>
            </w:pPr>
            <w:r>
              <w:t>项目</w:t>
            </w:r>
          </w:p>
        </w:tc>
        <w:tc>
          <w:tcPr>
            <w:tcW w:w="1276" w:type="dxa"/>
          </w:tcPr>
          <w:p w14:paraId="238ECFE6">
            <w:pPr>
              <w:pStyle w:val="21"/>
              <w:framePr w:hSpace="0" w:wrap="auto" w:vAnchor="margin" w:hAnchor="text" w:xAlign="left" w:yAlign="inline"/>
              <w:rPr>
                <w:rFonts w:hint="default"/>
              </w:rPr>
            </w:pPr>
            <w:r>
              <w:t>分值</w:t>
            </w:r>
          </w:p>
        </w:tc>
        <w:tc>
          <w:tcPr>
            <w:tcW w:w="5734" w:type="dxa"/>
          </w:tcPr>
          <w:p w14:paraId="7E48F57B">
            <w:pPr>
              <w:pStyle w:val="21"/>
              <w:framePr w:hSpace="0" w:wrap="auto" w:vAnchor="margin" w:hAnchor="text" w:xAlign="left" w:yAlign="inline"/>
              <w:rPr>
                <w:rFonts w:hint="default"/>
              </w:rPr>
            </w:pPr>
            <w:r>
              <w:t>描述</w:t>
            </w:r>
          </w:p>
        </w:tc>
      </w:tr>
      <w:tr w14:paraId="5D80E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3" w:hRule="atLeast"/>
        </w:trPr>
        <w:tc>
          <w:tcPr>
            <w:tcW w:w="1701" w:type="dxa"/>
            <w:vAlign w:val="center"/>
          </w:tcPr>
          <w:p w14:paraId="3FDD54BF">
            <w:pPr>
              <w:pStyle w:val="21"/>
              <w:framePr w:hSpace="0" w:wrap="auto" w:vAnchor="margin" w:hAnchor="text" w:xAlign="left" w:yAlign="inline"/>
              <w:rPr>
                <w:rFonts w:hint="default"/>
              </w:rPr>
            </w:pPr>
            <w:r>
              <w:t>商务</w:t>
            </w:r>
          </w:p>
        </w:tc>
        <w:tc>
          <w:tcPr>
            <w:tcW w:w="1276" w:type="dxa"/>
            <w:vAlign w:val="center"/>
          </w:tcPr>
          <w:p w14:paraId="0D3CE224">
            <w:pPr>
              <w:pStyle w:val="21"/>
              <w:framePr w:hSpace="0" w:wrap="auto" w:vAnchor="margin" w:hAnchor="text" w:xAlign="left" w:yAlign="inline"/>
              <w:rPr>
                <w:rFonts w:hint="default"/>
              </w:rPr>
            </w:pPr>
            <w:r>
              <w:rPr>
                <w:rFonts w:hint="default"/>
              </w:rPr>
              <w:t>2</w:t>
            </w:r>
            <w:r>
              <w:t>0.00</w:t>
            </w:r>
          </w:p>
        </w:tc>
        <w:tc>
          <w:tcPr>
            <w:tcW w:w="5734" w:type="dxa"/>
            <w:vAlign w:val="center"/>
          </w:tcPr>
          <w:p w14:paraId="780723EF">
            <w:pPr>
              <w:pStyle w:val="21"/>
              <w:framePr w:hSpace="0" w:wrap="auto" w:vAnchor="margin" w:hAnchor="text" w:xAlign="left" w:yAlign="inline"/>
              <w:rPr>
                <w:rFonts w:hint="default" w:ascii="仿宋" w:hAnsi="仿宋" w:eastAsia="仿宋" w:cs="仿宋"/>
              </w:rPr>
            </w:pPr>
            <w:r>
              <w:t>营业执照等证明文件复印件、单位授权书、财务状况报告</w:t>
            </w:r>
            <w:r>
              <w:rPr>
                <w:rFonts w:ascii="Times New Roman" w:hAnsi="Times New Roman" w:cs="Times New Roman"/>
              </w:rPr>
              <w:t>（</w:t>
            </w:r>
            <w:r>
              <w:t>财务报告或资信证明</w:t>
            </w:r>
            <w:r>
              <w:rPr>
                <w:rFonts w:ascii="Times New Roman" w:hAnsi="Times New Roman" w:cs="Times New Roman"/>
              </w:rPr>
              <w:t>）</w:t>
            </w:r>
            <w:r>
              <w:t>、信用记录查询结果，缺一项即取消遴选资格。</w:t>
            </w:r>
          </w:p>
        </w:tc>
      </w:tr>
    </w:tbl>
    <w:p w14:paraId="13E6BBFE">
      <w:pPr>
        <w:spacing w:line="560" w:lineRule="exact"/>
        <w:rPr>
          <w:rFonts w:eastAsia="仿宋_GB2312"/>
          <w:b/>
          <w:sz w:val="32"/>
          <w:szCs w:val="32"/>
        </w:rPr>
      </w:pPr>
    </w:p>
    <w:p w14:paraId="4D18F74B">
      <w:pPr>
        <w:spacing w:line="560" w:lineRule="exact"/>
        <w:rPr>
          <w:rFonts w:eastAsia="仿宋_GB2312"/>
          <w:b/>
          <w:sz w:val="32"/>
          <w:szCs w:val="32"/>
        </w:rPr>
      </w:pPr>
    </w:p>
    <w:tbl>
      <w:tblPr>
        <w:tblStyle w:val="6"/>
        <w:tblpPr w:leftFromText="180" w:rightFromText="180" w:vertAnchor="text" w:horzAnchor="page" w:tblpX="1814" w:tblpY="308"/>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1"/>
        <w:gridCol w:w="992"/>
        <w:gridCol w:w="5425"/>
      </w:tblGrid>
      <w:tr w14:paraId="710AB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0" w:hRule="atLeast"/>
        </w:trPr>
        <w:tc>
          <w:tcPr>
            <w:tcW w:w="8368" w:type="dxa"/>
            <w:gridSpan w:val="3"/>
            <w:vAlign w:val="center"/>
          </w:tcPr>
          <w:p w14:paraId="2333DA15">
            <w:pPr>
              <w:pStyle w:val="21"/>
              <w:framePr w:hSpace="0" w:wrap="auto" w:vAnchor="margin" w:hAnchor="text" w:xAlign="left" w:yAlign="inline"/>
              <w:rPr>
                <w:rFonts w:hint="default"/>
              </w:rPr>
            </w:pPr>
            <w:r>
              <w:t>技术项（F</w:t>
            </w:r>
            <w:r>
              <w:rPr>
                <w:rFonts w:hint="default"/>
              </w:rPr>
              <w:t>2</w:t>
            </w:r>
            <w:r>
              <w:t>）  满分为</w:t>
            </w:r>
            <w:r>
              <w:rPr>
                <w:rFonts w:hint="default"/>
              </w:rPr>
              <w:t>6</w:t>
            </w:r>
            <w:r>
              <w:t>5.0分</w:t>
            </w:r>
          </w:p>
        </w:tc>
      </w:tr>
      <w:tr w14:paraId="54106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7" w:hRule="atLeast"/>
        </w:trPr>
        <w:tc>
          <w:tcPr>
            <w:tcW w:w="1951" w:type="dxa"/>
            <w:vAlign w:val="center"/>
          </w:tcPr>
          <w:p w14:paraId="3DAD1803">
            <w:pPr>
              <w:pStyle w:val="21"/>
              <w:framePr w:hSpace="0" w:wrap="auto" w:vAnchor="margin" w:hAnchor="text" w:xAlign="left" w:yAlign="inline"/>
              <w:rPr>
                <w:rFonts w:hint="default"/>
              </w:rPr>
            </w:pPr>
            <w:r>
              <w:t>项目</w:t>
            </w:r>
          </w:p>
        </w:tc>
        <w:tc>
          <w:tcPr>
            <w:tcW w:w="992" w:type="dxa"/>
            <w:vAlign w:val="center"/>
          </w:tcPr>
          <w:p w14:paraId="5CB7C75B">
            <w:pPr>
              <w:pStyle w:val="21"/>
              <w:framePr w:hSpace="0" w:wrap="auto" w:vAnchor="margin" w:hAnchor="text" w:xAlign="left" w:yAlign="inline"/>
              <w:rPr>
                <w:rFonts w:hint="default"/>
              </w:rPr>
            </w:pPr>
            <w:r>
              <w:t>分值</w:t>
            </w:r>
          </w:p>
        </w:tc>
        <w:tc>
          <w:tcPr>
            <w:tcW w:w="5425" w:type="dxa"/>
            <w:vAlign w:val="center"/>
          </w:tcPr>
          <w:p w14:paraId="7B5606E1">
            <w:pPr>
              <w:pStyle w:val="21"/>
              <w:framePr w:hSpace="0" w:wrap="auto" w:vAnchor="margin" w:hAnchor="text" w:xAlign="left" w:yAlign="inline"/>
              <w:rPr>
                <w:rFonts w:hint="default"/>
              </w:rPr>
            </w:pPr>
            <w:r>
              <w:t>描述</w:t>
            </w:r>
          </w:p>
        </w:tc>
      </w:tr>
      <w:tr w14:paraId="74DEC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14360C7D">
            <w:pPr>
              <w:pStyle w:val="21"/>
              <w:framePr w:hSpace="0" w:wrap="auto" w:vAnchor="margin" w:hAnchor="text" w:xAlign="left" w:yAlign="inline"/>
              <w:rPr>
                <w:rFonts w:hint="default"/>
              </w:rPr>
            </w:pPr>
            <w:r>
              <w:t>1、响应情况</w:t>
            </w:r>
          </w:p>
        </w:tc>
        <w:tc>
          <w:tcPr>
            <w:tcW w:w="992" w:type="dxa"/>
            <w:vAlign w:val="center"/>
          </w:tcPr>
          <w:p w14:paraId="5BDB1549">
            <w:pPr>
              <w:pStyle w:val="21"/>
              <w:framePr w:hSpace="0" w:wrap="auto" w:vAnchor="margin" w:hAnchor="text" w:xAlign="left" w:yAlign="inline"/>
              <w:rPr>
                <w:rFonts w:hint="default"/>
              </w:rPr>
            </w:pPr>
            <w:r>
              <w:rPr>
                <w:rFonts w:hint="default"/>
              </w:rPr>
              <w:t>30.</w:t>
            </w:r>
            <w:r>
              <w:t>0</w:t>
            </w:r>
          </w:p>
        </w:tc>
        <w:tc>
          <w:tcPr>
            <w:tcW w:w="5425" w:type="dxa"/>
            <w:vAlign w:val="center"/>
          </w:tcPr>
          <w:p w14:paraId="663FE264">
            <w:pPr>
              <w:pStyle w:val="21"/>
              <w:framePr w:hSpace="0" w:wrap="auto" w:vAnchor="margin" w:hAnchor="text" w:xAlign="left" w:yAlign="inline"/>
              <w:rPr>
                <w:rFonts w:hint="default"/>
              </w:rPr>
            </w:pPr>
            <w:r>
              <w:t>由评标委员会根据投标人的投标文件对“技术和服务要求”的逐项响应情况进行评分：完全满足招标文件要求的得</w:t>
            </w:r>
            <w:r>
              <w:rPr>
                <w:rFonts w:hint="default"/>
              </w:rPr>
              <w:t>30</w:t>
            </w:r>
            <w:r>
              <w:t>分，</w:t>
            </w:r>
            <w:r>
              <w:rPr>
                <w:rFonts w:hint="default" w:ascii="Times New Roman" w:hAnsi="Times New Roman" w:eastAsia="仿宋_GB2312" w:cs="Times New Roman"/>
              </w:rPr>
              <w:t>共1</w:t>
            </w:r>
            <w:r>
              <w:rPr>
                <w:rFonts w:ascii="Times New Roman" w:hAnsi="Times New Roman" w:eastAsia="仿宋_GB2312" w:cs="Times New Roman"/>
              </w:rPr>
              <w:t>0</w:t>
            </w:r>
            <w:r>
              <w:rPr>
                <w:rFonts w:hint="default" w:ascii="Times New Roman" w:hAnsi="Times New Roman" w:eastAsia="仿宋_GB2312" w:cs="Times New Roman"/>
              </w:rPr>
              <w:t>项，每负偏离一项扣3分，满分30分，正偏离不加分。</w:t>
            </w:r>
          </w:p>
        </w:tc>
      </w:tr>
      <w:tr w14:paraId="6A5C6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76A449A1">
            <w:pPr>
              <w:pStyle w:val="21"/>
              <w:framePr w:hSpace="0" w:wrap="auto" w:vAnchor="margin" w:hAnchor="text" w:xAlign="left" w:yAlign="inline"/>
              <w:rPr>
                <w:rFonts w:hint="default"/>
              </w:rPr>
            </w:pPr>
            <w:r>
              <w:t>2、项目配备人员</w:t>
            </w:r>
          </w:p>
        </w:tc>
        <w:tc>
          <w:tcPr>
            <w:tcW w:w="992" w:type="dxa"/>
            <w:vAlign w:val="center"/>
          </w:tcPr>
          <w:p w14:paraId="00D18D0F">
            <w:pPr>
              <w:pStyle w:val="21"/>
              <w:framePr w:hSpace="0" w:wrap="auto" w:vAnchor="margin" w:hAnchor="text" w:xAlign="left" w:yAlign="inline"/>
              <w:rPr>
                <w:rFonts w:hint="default"/>
              </w:rPr>
            </w:pPr>
            <w:r>
              <w:t>3.0</w:t>
            </w:r>
          </w:p>
        </w:tc>
        <w:tc>
          <w:tcPr>
            <w:tcW w:w="5425" w:type="dxa"/>
            <w:vAlign w:val="center"/>
          </w:tcPr>
          <w:p w14:paraId="070796D6">
            <w:pPr>
              <w:pStyle w:val="21"/>
              <w:framePr w:hSpace="0" w:wrap="auto" w:vAnchor="margin" w:hAnchor="text" w:xAlign="left" w:yAlign="inline"/>
              <w:rPr>
                <w:rFonts w:hint="default"/>
              </w:rPr>
            </w:pPr>
            <w:r>
              <w:t>投标人为本项目拟配备的人员具有新闻采编人员资格培训合格证书的得3分。注：投标人须同时提供在本项目投标截止时间前六个月（不含投标截止时间的当月）中任一月份投标人为其缴纳的社会保险凭据及有效的证书复印件，未提供或提供不全的本项不得分。</w:t>
            </w:r>
          </w:p>
        </w:tc>
      </w:tr>
      <w:tr w14:paraId="10763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0712067D">
            <w:pPr>
              <w:pStyle w:val="21"/>
              <w:framePr w:hSpace="0" w:wrap="auto" w:vAnchor="margin" w:hAnchor="text" w:xAlign="left" w:yAlign="inline"/>
              <w:rPr>
                <w:rFonts w:hint="default"/>
              </w:rPr>
            </w:pPr>
            <w:r>
              <w:t>3、整体服务方案</w:t>
            </w:r>
          </w:p>
        </w:tc>
        <w:tc>
          <w:tcPr>
            <w:tcW w:w="992" w:type="dxa"/>
            <w:vAlign w:val="center"/>
          </w:tcPr>
          <w:p w14:paraId="41EA39E9">
            <w:pPr>
              <w:pStyle w:val="21"/>
              <w:framePr w:hSpace="0" w:wrap="auto" w:vAnchor="margin" w:hAnchor="text" w:xAlign="left" w:yAlign="inline"/>
              <w:rPr>
                <w:rFonts w:hint="default"/>
              </w:rPr>
            </w:pPr>
            <w:r>
              <w:t>6.0</w:t>
            </w:r>
          </w:p>
        </w:tc>
        <w:tc>
          <w:tcPr>
            <w:tcW w:w="5425" w:type="dxa"/>
            <w:vAlign w:val="center"/>
          </w:tcPr>
          <w:p w14:paraId="21BCB1DA">
            <w:pPr>
              <w:pStyle w:val="21"/>
              <w:framePr w:hSpace="0" w:wrap="auto" w:vAnchor="margin" w:hAnchor="text" w:xAlign="left" w:yAlign="inline"/>
              <w:rPr>
                <w:rFonts w:hint="default"/>
              </w:rPr>
            </w:pPr>
            <w:r>
              <w:t>根据投标人针对本项目提供的整体服务方案（包括但不限于服务计划、服务标准及质量、与采购人配合对接等），由评标委员会进行评分：方案详细合理全面，可行性高的得6分；方案较为详细合理全面，可行性较高的得</w:t>
            </w:r>
            <w:r>
              <w:rPr>
                <w:rFonts w:hint="default"/>
              </w:rPr>
              <w:t>4</w:t>
            </w:r>
            <w:r>
              <w:t>分；方案详细合理程度一般，可行性一般的得</w:t>
            </w:r>
            <w:r>
              <w:rPr>
                <w:rFonts w:hint="default"/>
              </w:rPr>
              <w:t>2</w:t>
            </w:r>
            <w:r>
              <w:t>分；提供的内容不可行或未提供的本项不得分。</w:t>
            </w:r>
          </w:p>
        </w:tc>
      </w:tr>
      <w:tr w14:paraId="616BE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4687AAC7">
            <w:pPr>
              <w:pStyle w:val="21"/>
              <w:framePr w:hSpace="0" w:wrap="auto" w:vAnchor="margin" w:hAnchor="text" w:xAlign="left" w:yAlign="inline"/>
              <w:rPr>
                <w:rFonts w:hint="default"/>
              </w:rPr>
            </w:pPr>
            <w:r>
              <w:t>4、人员安排方案</w:t>
            </w:r>
          </w:p>
        </w:tc>
        <w:tc>
          <w:tcPr>
            <w:tcW w:w="992" w:type="dxa"/>
            <w:vAlign w:val="center"/>
          </w:tcPr>
          <w:p w14:paraId="4559C2E4">
            <w:pPr>
              <w:pStyle w:val="21"/>
              <w:framePr w:hSpace="0" w:wrap="auto" w:vAnchor="margin" w:hAnchor="text" w:xAlign="left" w:yAlign="inline"/>
              <w:rPr>
                <w:rFonts w:hint="default"/>
              </w:rPr>
            </w:pPr>
            <w:r>
              <w:t>3.00</w:t>
            </w:r>
          </w:p>
        </w:tc>
        <w:tc>
          <w:tcPr>
            <w:tcW w:w="5425" w:type="dxa"/>
            <w:vAlign w:val="center"/>
          </w:tcPr>
          <w:p w14:paraId="713E320E">
            <w:pPr>
              <w:pStyle w:val="21"/>
              <w:framePr w:hSpace="0" w:wrap="auto" w:vAnchor="margin" w:hAnchor="text" w:xAlign="left" w:yAlign="inline"/>
              <w:rPr>
                <w:rFonts w:hint="default"/>
              </w:rPr>
            </w:pPr>
            <w:r>
              <w:t>根据投标人针对本项目提供的人员安排方案（包括但不限于团队架构、责任分工、人员安排等），由评标委员会进行评分：方案中团队架构设置合理、责任分工明确、人员安排详实的得3分；方案中团队架构设置较合理、责任分工较明确、人员安排较详实的得2分；方案中团队架构设置一般、责任分工一般、人员安排一般的得1分；未提供或提供的内容与本项目需求不符合的不得分。</w:t>
            </w:r>
          </w:p>
        </w:tc>
      </w:tr>
      <w:tr w14:paraId="0224D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7A11C833">
            <w:pPr>
              <w:pStyle w:val="21"/>
              <w:framePr w:hSpace="0" w:wrap="auto" w:vAnchor="margin" w:hAnchor="text" w:xAlign="left" w:yAlign="inline"/>
              <w:rPr>
                <w:rFonts w:hint="default"/>
              </w:rPr>
            </w:pPr>
            <w:r>
              <w:t>5、进度安排方案</w:t>
            </w:r>
          </w:p>
        </w:tc>
        <w:tc>
          <w:tcPr>
            <w:tcW w:w="992" w:type="dxa"/>
            <w:vAlign w:val="center"/>
          </w:tcPr>
          <w:p w14:paraId="7185B4FF">
            <w:pPr>
              <w:pStyle w:val="21"/>
              <w:framePr w:hSpace="0" w:wrap="auto" w:vAnchor="margin" w:hAnchor="text" w:xAlign="left" w:yAlign="inline"/>
              <w:rPr>
                <w:rFonts w:hint="default"/>
              </w:rPr>
            </w:pPr>
            <w:r>
              <w:t>3.00</w:t>
            </w:r>
          </w:p>
        </w:tc>
        <w:tc>
          <w:tcPr>
            <w:tcW w:w="5425" w:type="dxa"/>
            <w:vAlign w:val="center"/>
          </w:tcPr>
          <w:p w14:paraId="7BC1FE76">
            <w:pPr>
              <w:pStyle w:val="21"/>
              <w:framePr w:hSpace="0" w:wrap="auto" w:vAnchor="margin" w:hAnchor="text" w:xAlign="left" w:yAlign="inline"/>
              <w:rPr>
                <w:rFonts w:hint="default"/>
              </w:rPr>
            </w:pPr>
            <w:r>
              <w:t>根据投标人针对本项目提供的进度安排方案（包括但不限于安排顺序、项目进展估计时间，制订项目的起止日期和项目具体时间安排的工作等），由评标委员会进行评分：方案详细合理全面，可行性高的得3分；方案较为详细合理全面，可行性较高的得2分；方案详细合理程度一般，可行性一般的得1分；提供的内容不可行或未提供的本项不得分。</w:t>
            </w:r>
          </w:p>
        </w:tc>
      </w:tr>
      <w:tr w14:paraId="33239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37D89038">
            <w:pPr>
              <w:pStyle w:val="21"/>
              <w:framePr w:hSpace="0" w:wrap="auto" w:vAnchor="margin" w:hAnchor="text" w:xAlign="left" w:yAlign="inline"/>
              <w:rPr>
                <w:rFonts w:hint="default"/>
              </w:rPr>
            </w:pPr>
            <w:r>
              <w:t>6、质量保障措施方案</w:t>
            </w:r>
          </w:p>
        </w:tc>
        <w:tc>
          <w:tcPr>
            <w:tcW w:w="992" w:type="dxa"/>
            <w:vAlign w:val="center"/>
          </w:tcPr>
          <w:p w14:paraId="42D67C6B">
            <w:pPr>
              <w:pStyle w:val="21"/>
              <w:framePr w:hSpace="0" w:wrap="auto" w:vAnchor="margin" w:hAnchor="text" w:xAlign="left" w:yAlign="inline"/>
              <w:rPr>
                <w:rFonts w:hint="default"/>
              </w:rPr>
            </w:pPr>
            <w:r>
              <w:rPr>
                <w:rFonts w:hint="default"/>
              </w:rPr>
              <w:t>4</w:t>
            </w:r>
            <w:r>
              <w:t>.00</w:t>
            </w:r>
          </w:p>
        </w:tc>
        <w:tc>
          <w:tcPr>
            <w:tcW w:w="5425" w:type="dxa"/>
            <w:vAlign w:val="center"/>
          </w:tcPr>
          <w:p w14:paraId="21567C36">
            <w:pPr>
              <w:pStyle w:val="21"/>
              <w:framePr w:hSpace="0" w:wrap="auto" w:vAnchor="margin" w:hAnchor="text" w:xAlign="left" w:yAlign="inline"/>
              <w:rPr>
                <w:rFonts w:hint="default"/>
              </w:rPr>
            </w:pPr>
            <w:r>
              <w:t>根据投标人针对本项目提供的质量保障措施方案（包括但不限于质量保证体系建设、质量控制层级、职责划分等），由评标委员会进行评分：方案详细合理全面，可行性高的得</w:t>
            </w:r>
            <w:r>
              <w:rPr>
                <w:rFonts w:hint="default"/>
              </w:rPr>
              <w:t>4</w:t>
            </w:r>
            <w:r>
              <w:t>分；方案较为详细合理全面，可行性较高的得</w:t>
            </w:r>
            <w:r>
              <w:rPr>
                <w:rFonts w:hint="default"/>
              </w:rPr>
              <w:t>3</w:t>
            </w:r>
            <w:r>
              <w:t>分；方案详细合理程度一般，可行性一般的得</w:t>
            </w:r>
            <w:r>
              <w:rPr>
                <w:rFonts w:hint="default"/>
              </w:rPr>
              <w:t>2</w:t>
            </w:r>
            <w:r>
              <w:t>分；提供的内容不可行或未提供的本项不得分。</w:t>
            </w:r>
          </w:p>
        </w:tc>
      </w:tr>
      <w:tr w14:paraId="642F6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368CFFEF">
            <w:pPr>
              <w:pStyle w:val="21"/>
              <w:framePr w:hSpace="0" w:wrap="auto" w:vAnchor="margin" w:hAnchor="text" w:xAlign="left" w:yAlign="inline"/>
              <w:rPr>
                <w:rFonts w:hint="default"/>
              </w:rPr>
            </w:pPr>
            <w:r>
              <w:t>7、发布与审查机制方案</w:t>
            </w:r>
          </w:p>
        </w:tc>
        <w:tc>
          <w:tcPr>
            <w:tcW w:w="992" w:type="dxa"/>
            <w:vAlign w:val="center"/>
          </w:tcPr>
          <w:p w14:paraId="6E338971">
            <w:pPr>
              <w:pStyle w:val="21"/>
              <w:framePr w:hSpace="0" w:wrap="auto" w:vAnchor="margin" w:hAnchor="text" w:xAlign="left" w:yAlign="inline"/>
              <w:rPr>
                <w:rFonts w:hint="default"/>
              </w:rPr>
            </w:pPr>
            <w:r>
              <w:t>3.00</w:t>
            </w:r>
          </w:p>
        </w:tc>
        <w:tc>
          <w:tcPr>
            <w:tcW w:w="5425" w:type="dxa"/>
            <w:vAlign w:val="center"/>
          </w:tcPr>
          <w:p w14:paraId="7854C1B3">
            <w:pPr>
              <w:pStyle w:val="21"/>
              <w:framePr w:hSpace="0" w:wrap="auto" w:vAnchor="margin" w:hAnchor="text" w:xAlign="left" w:yAlign="inline"/>
              <w:rPr>
                <w:rFonts w:hint="default"/>
              </w:rPr>
            </w:pPr>
            <w:r>
              <w:t>根据投标人针对本项目提供的发布与审查机制方案（包括但不限于发布与审查制度、流程和保证发布信息质量等），由评标委员会进行评分：方案详细合理全面，可行性高的得3分；方案较为详细合理全面，可行性较高的得2分；方案详细合理程度一般，可行性一般的得1分；提供的内容不可行或未提供的本项不得分。</w:t>
            </w:r>
          </w:p>
        </w:tc>
      </w:tr>
      <w:tr w14:paraId="6354B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6758815B">
            <w:pPr>
              <w:pStyle w:val="21"/>
              <w:framePr w:hSpace="0" w:wrap="auto" w:vAnchor="margin" w:hAnchor="text" w:xAlign="left" w:yAlign="inline"/>
              <w:rPr>
                <w:rFonts w:hint="default"/>
              </w:rPr>
            </w:pPr>
            <w:r>
              <w:rPr>
                <w:rFonts w:hint="default"/>
              </w:rPr>
              <w:t>8</w:t>
            </w:r>
            <w:r>
              <w:t>、承诺函</w:t>
            </w:r>
          </w:p>
        </w:tc>
        <w:tc>
          <w:tcPr>
            <w:tcW w:w="992" w:type="dxa"/>
            <w:vAlign w:val="center"/>
          </w:tcPr>
          <w:p w14:paraId="106C4957">
            <w:pPr>
              <w:pStyle w:val="21"/>
              <w:framePr w:hSpace="0" w:wrap="auto" w:vAnchor="margin" w:hAnchor="text" w:xAlign="left" w:yAlign="inline"/>
              <w:rPr>
                <w:rFonts w:hint="default"/>
              </w:rPr>
            </w:pPr>
            <w:r>
              <w:t>3.00</w:t>
            </w:r>
          </w:p>
        </w:tc>
        <w:tc>
          <w:tcPr>
            <w:tcW w:w="5425" w:type="dxa"/>
            <w:vAlign w:val="center"/>
          </w:tcPr>
          <w:p w14:paraId="7BC6C6DE">
            <w:pPr>
              <w:pStyle w:val="21"/>
              <w:framePr w:hSpace="0" w:wrap="auto" w:vAnchor="margin" w:hAnchor="text" w:xAlign="left" w:yAlign="inline"/>
              <w:rPr>
                <w:rFonts w:hint="default"/>
              </w:rPr>
            </w:pPr>
            <w:r>
              <w:t>根据投标人承诺可自行撰写新闻素材，并针对本项目承诺所涉及的新闻报道内容保证不侵犯第三方知识产权的得3分。注：投标人须提供承诺函（格式自拟），未提供承诺或承诺的内容不可行的不得分。</w:t>
            </w:r>
          </w:p>
        </w:tc>
      </w:tr>
      <w:tr w14:paraId="5D419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6435FD93">
            <w:pPr>
              <w:pStyle w:val="21"/>
              <w:framePr w:hSpace="0" w:wrap="auto" w:vAnchor="margin" w:hAnchor="text" w:xAlign="left" w:yAlign="inline"/>
              <w:rPr>
                <w:rFonts w:hint="default"/>
              </w:rPr>
            </w:pPr>
            <w:r>
              <w:rPr>
                <w:rFonts w:hint="default"/>
              </w:rPr>
              <w:t>9</w:t>
            </w:r>
            <w:r>
              <w:t>、业绩</w:t>
            </w:r>
          </w:p>
        </w:tc>
        <w:tc>
          <w:tcPr>
            <w:tcW w:w="992" w:type="dxa"/>
            <w:vAlign w:val="center"/>
          </w:tcPr>
          <w:p w14:paraId="58B92512">
            <w:pPr>
              <w:pStyle w:val="21"/>
              <w:framePr w:hSpace="0" w:wrap="auto" w:vAnchor="margin" w:hAnchor="text" w:xAlign="left" w:yAlign="inline"/>
              <w:rPr>
                <w:rFonts w:hint="default"/>
              </w:rPr>
            </w:pPr>
            <w:r>
              <w:t>6.00</w:t>
            </w:r>
          </w:p>
        </w:tc>
        <w:tc>
          <w:tcPr>
            <w:tcW w:w="5425" w:type="dxa"/>
            <w:vAlign w:val="center"/>
          </w:tcPr>
          <w:p w14:paraId="486F39B7">
            <w:pPr>
              <w:pStyle w:val="21"/>
              <w:framePr w:hSpace="0" w:wrap="auto" w:vAnchor="margin" w:hAnchor="text" w:xAlign="left" w:yAlign="inline"/>
              <w:rPr>
                <w:rFonts w:hint="default"/>
              </w:rPr>
            </w:pPr>
            <w:r>
              <w:t>根据投标人提供的自2021年1月1日起至本项目投标截止时间止（日期以合同签订时间为准），由投标人所完成的同类项目的业绩</w:t>
            </w:r>
            <w:r>
              <w:rPr>
                <w:color w:val="000000" w:themeColor="text1"/>
              </w:rPr>
              <w:t>（兼具信息宣传策划与新媒体运营的业务）</w:t>
            </w:r>
            <w:r>
              <w:t>情况进行评分，每提供1份完整业绩证明材料的得3分，满分6分。注：投标人须同时提供中标公告（提供相关网站中标公告的下载网页并注明网址）、中标通知书复印件、采购合同文本复印件以及能够证明该业绩项目已经采购人验收合格的相关证明文件复印件(原件备查)，未同时提供以上证明材料的本项不得分。</w:t>
            </w:r>
          </w:p>
        </w:tc>
      </w:tr>
      <w:tr w14:paraId="4E701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794FC330">
            <w:pPr>
              <w:pStyle w:val="21"/>
              <w:framePr w:hSpace="0" w:wrap="auto" w:vAnchor="margin" w:hAnchor="text" w:xAlign="left" w:yAlign="inline"/>
              <w:rPr>
                <w:rFonts w:hint="default"/>
              </w:rPr>
            </w:pPr>
            <w:r>
              <w:rPr>
                <w:rFonts w:hint="default"/>
              </w:rPr>
              <w:t>10</w:t>
            </w:r>
            <w:r>
              <w:t>、获奖证书</w:t>
            </w:r>
          </w:p>
        </w:tc>
        <w:tc>
          <w:tcPr>
            <w:tcW w:w="992" w:type="dxa"/>
            <w:vAlign w:val="center"/>
          </w:tcPr>
          <w:p w14:paraId="5A96DDEB">
            <w:pPr>
              <w:pStyle w:val="21"/>
              <w:framePr w:hSpace="0" w:wrap="auto" w:vAnchor="margin" w:hAnchor="text" w:xAlign="left" w:yAlign="inline"/>
              <w:rPr>
                <w:rFonts w:hint="default"/>
              </w:rPr>
            </w:pPr>
            <w:r>
              <w:t>4.00</w:t>
            </w:r>
          </w:p>
        </w:tc>
        <w:tc>
          <w:tcPr>
            <w:tcW w:w="5425" w:type="dxa"/>
            <w:vAlign w:val="center"/>
          </w:tcPr>
          <w:p w14:paraId="4DB26444">
            <w:pPr>
              <w:pStyle w:val="21"/>
              <w:framePr w:hSpace="0" w:wrap="auto" w:vAnchor="margin" w:hAnchor="text" w:xAlign="left" w:yAlign="inline"/>
              <w:rPr>
                <w:rFonts w:hint="default"/>
              </w:rPr>
            </w:pPr>
            <w:r>
              <w:t>投标人获得由</w:t>
            </w:r>
            <w:r>
              <w:rPr>
                <w:color w:val="000000" w:themeColor="text1"/>
              </w:rPr>
              <w:t>省</w:t>
            </w:r>
            <w:r>
              <w:t>级（含）以上宣传部门颁发的宣传类作品获奖证书的，每提供1份证书的得2分，满分4分。注：投标人须提供相关证书复印件，否则不得分。</w:t>
            </w:r>
          </w:p>
        </w:tc>
      </w:tr>
    </w:tbl>
    <w:p w14:paraId="161A94D7">
      <w:pPr>
        <w:jc w:val="left"/>
        <w:rPr>
          <w:rFonts w:eastAsia="仿宋_GB2312"/>
          <w:b/>
          <w:sz w:val="32"/>
          <w:szCs w:val="32"/>
        </w:rPr>
      </w:pPr>
    </w:p>
    <w:tbl>
      <w:tblPr>
        <w:tblStyle w:val="6"/>
        <w:tblpPr w:leftFromText="180" w:rightFromText="180" w:vertAnchor="text" w:horzAnchor="margin" w:tblpY="29"/>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7"/>
        <w:gridCol w:w="1260"/>
        <w:gridCol w:w="5595"/>
      </w:tblGrid>
      <w:tr w14:paraId="073DB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522" w:type="dxa"/>
            <w:gridSpan w:val="3"/>
            <w:vAlign w:val="center"/>
          </w:tcPr>
          <w:p w14:paraId="7FFA7870">
            <w:pPr>
              <w:pStyle w:val="21"/>
              <w:framePr w:hSpace="0" w:wrap="auto" w:vAnchor="margin" w:hAnchor="text" w:xAlign="left" w:yAlign="inline"/>
              <w:rPr>
                <w:rFonts w:hint="default"/>
              </w:rPr>
            </w:pPr>
            <w:r>
              <w:t>价格项(</w:t>
            </w:r>
            <w:r>
              <w:rPr>
                <w:rFonts w:hint="default"/>
              </w:rPr>
              <w:t>F3)</w:t>
            </w:r>
            <w:r>
              <w:t xml:space="preserve"> 满分为15.00分</w:t>
            </w:r>
          </w:p>
        </w:tc>
      </w:tr>
      <w:tr w14:paraId="156E7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dxa"/>
            <w:vAlign w:val="center"/>
          </w:tcPr>
          <w:p w14:paraId="2CCFF358">
            <w:pPr>
              <w:pStyle w:val="21"/>
              <w:framePr w:hSpace="0" w:wrap="auto" w:vAnchor="margin" w:hAnchor="text" w:xAlign="left" w:yAlign="inline"/>
              <w:rPr>
                <w:rFonts w:hint="default"/>
              </w:rPr>
            </w:pPr>
            <w:r>
              <w:t>项目</w:t>
            </w:r>
          </w:p>
        </w:tc>
        <w:tc>
          <w:tcPr>
            <w:tcW w:w="1260" w:type="dxa"/>
          </w:tcPr>
          <w:p w14:paraId="221DB5CF">
            <w:pPr>
              <w:pStyle w:val="21"/>
              <w:framePr w:hSpace="0" w:wrap="auto" w:vAnchor="margin" w:hAnchor="text" w:xAlign="left" w:yAlign="inline"/>
              <w:rPr>
                <w:rFonts w:hint="default"/>
              </w:rPr>
            </w:pPr>
            <w:r>
              <w:t>分值</w:t>
            </w:r>
          </w:p>
        </w:tc>
        <w:tc>
          <w:tcPr>
            <w:tcW w:w="5595" w:type="dxa"/>
          </w:tcPr>
          <w:p w14:paraId="423356D3">
            <w:pPr>
              <w:pStyle w:val="21"/>
              <w:framePr w:hSpace="0" w:wrap="auto" w:vAnchor="margin" w:hAnchor="text" w:xAlign="left" w:yAlign="inline"/>
              <w:rPr>
                <w:rFonts w:hint="default"/>
              </w:rPr>
            </w:pPr>
            <w:r>
              <w:t>描述</w:t>
            </w:r>
          </w:p>
        </w:tc>
      </w:tr>
      <w:tr w14:paraId="0F66A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3" w:hRule="atLeast"/>
        </w:trPr>
        <w:tc>
          <w:tcPr>
            <w:tcW w:w="1667" w:type="dxa"/>
            <w:vAlign w:val="center"/>
          </w:tcPr>
          <w:p w14:paraId="3022ED5D">
            <w:pPr>
              <w:pStyle w:val="21"/>
              <w:framePr w:hSpace="0" w:wrap="auto" w:vAnchor="margin" w:hAnchor="text" w:xAlign="left" w:yAlign="inline"/>
              <w:rPr>
                <w:rFonts w:hint="default"/>
              </w:rPr>
            </w:pPr>
            <w:r>
              <w:t>价格</w:t>
            </w:r>
          </w:p>
        </w:tc>
        <w:tc>
          <w:tcPr>
            <w:tcW w:w="1260" w:type="dxa"/>
            <w:vAlign w:val="center"/>
          </w:tcPr>
          <w:p w14:paraId="0663F491">
            <w:pPr>
              <w:pStyle w:val="21"/>
              <w:framePr w:hSpace="0" w:wrap="auto" w:vAnchor="margin" w:hAnchor="text" w:xAlign="left" w:yAlign="inline"/>
              <w:rPr>
                <w:rFonts w:hint="default"/>
              </w:rPr>
            </w:pPr>
            <w:r>
              <w:t>15.00</w:t>
            </w:r>
          </w:p>
        </w:tc>
        <w:tc>
          <w:tcPr>
            <w:tcW w:w="5595" w:type="dxa"/>
            <w:vAlign w:val="center"/>
          </w:tcPr>
          <w:p w14:paraId="17CA4DD8">
            <w:pPr>
              <w:pStyle w:val="21"/>
              <w:framePr w:hSpace="0" w:wrap="auto" w:vAnchor="margin" w:hAnchor="text" w:xAlign="left" w:yAlign="inline"/>
              <w:rPr>
                <w:rFonts w:hint="default"/>
              </w:rPr>
            </w:pPr>
            <w:r>
              <w:t>/</w:t>
            </w:r>
          </w:p>
        </w:tc>
      </w:tr>
    </w:tbl>
    <w:p w14:paraId="52212EAF">
      <w:pPr>
        <w:jc w:val="left"/>
        <w:rPr>
          <w:sz w:val="28"/>
          <w:szCs w:val="36"/>
        </w:rPr>
      </w:pPr>
    </w:p>
    <w:p w14:paraId="3ACC49CF">
      <w:pPr>
        <w:widowControl/>
        <w:jc w:val="left"/>
        <w:rPr>
          <w:rFonts w:hint="eastAsia"/>
          <w:sz w:val="28"/>
          <w:szCs w:val="36"/>
        </w:rPr>
      </w:pPr>
      <w:r>
        <w:rPr>
          <w:sz w:val="28"/>
          <w:szCs w:val="36"/>
        </w:rPr>
        <w:br w:type="page"/>
      </w:r>
    </w:p>
    <w:p w14:paraId="072F2791">
      <w:pPr>
        <w:widowControl/>
        <w:spacing w:line="560" w:lineRule="exact"/>
        <w:ind w:firstLine="643"/>
        <w:rPr>
          <w:b/>
          <w:sz w:val="32"/>
          <w:szCs w:val="32"/>
        </w:rPr>
      </w:pPr>
      <w:r>
        <w:rPr>
          <w:b/>
          <w:sz w:val="32"/>
          <w:szCs w:val="32"/>
        </w:rPr>
        <w:t>备注：</w:t>
      </w:r>
    </w:p>
    <w:p w14:paraId="4292D71A">
      <w:pPr>
        <w:tabs>
          <w:tab w:val="left" w:pos="-1080"/>
          <w:tab w:val="left" w:pos="180"/>
          <w:tab w:val="left" w:pos="567"/>
          <w:tab w:val="left" w:pos="885"/>
          <w:tab w:val="left" w:pos="1080"/>
        </w:tabs>
        <w:snapToGrid w:val="0"/>
        <w:spacing w:line="440" w:lineRule="exact"/>
        <w:ind w:firstLine="482"/>
        <w:rPr>
          <w:bCs/>
        </w:rPr>
      </w:pPr>
      <w:r>
        <w:rPr>
          <w:rFonts w:hint="eastAsia"/>
          <w:bCs/>
        </w:rPr>
        <w:t>营业执照等证明文件复印件：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6F0FC39">
      <w:pPr>
        <w:tabs>
          <w:tab w:val="left" w:pos="-1080"/>
          <w:tab w:val="left" w:pos="180"/>
          <w:tab w:val="left" w:pos="567"/>
          <w:tab w:val="left" w:pos="885"/>
          <w:tab w:val="left" w:pos="1080"/>
        </w:tabs>
        <w:snapToGrid w:val="0"/>
        <w:spacing w:line="440" w:lineRule="exact"/>
        <w:ind w:firstLine="482"/>
        <w:rPr>
          <w:bCs/>
        </w:rPr>
      </w:pPr>
      <w:r>
        <w:rPr>
          <w:rFonts w:hint="eastAsia"/>
          <w:bCs/>
        </w:rPr>
        <w:t xml:space="preserve">单位授权书：①投标人（自然人除外）：若投标人代表为单位授权的委托代理人，应提供本授权书；若投标人代表为单位负责人，应在此项下提交其身份证正反面复印件，可不提供本授权书。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70DD4EA1">
      <w:pPr>
        <w:tabs>
          <w:tab w:val="left" w:pos="-1080"/>
          <w:tab w:val="left" w:pos="180"/>
          <w:tab w:val="left" w:pos="567"/>
          <w:tab w:val="left" w:pos="885"/>
          <w:tab w:val="left" w:pos="1080"/>
        </w:tabs>
        <w:snapToGrid w:val="0"/>
        <w:spacing w:line="440" w:lineRule="exact"/>
        <w:ind w:firstLine="482"/>
        <w:rPr>
          <w:bCs/>
        </w:rPr>
      </w:pPr>
      <w:r>
        <w:rPr>
          <w:rFonts w:hint="eastAsia"/>
          <w:bCs/>
        </w:rPr>
        <w:t>财务状况报告：投标人提供的财务报告复印件（成立年限按照投标截止时间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1DDA0E59">
      <w:pPr>
        <w:tabs>
          <w:tab w:val="left" w:pos="-1080"/>
          <w:tab w:val="left" w:pos="180"/>
          <w:tab w:val="left" w:pos="567"/>
          <w:tab w:val="left" w:pos="885"/>
          <w:tab w:val="left" w:pos="1080"/>
        </w:tabs>
        <w:snapToGrid w:val="0"/>
        <w:spacing w:line="440" w:lineRule="exact"/>
        <w:ind w:firstLine="482"/>
        <w:rPr>
          <w:rFonts w:ascii="宋体" w:hAnsi="宋体" w:cs="宋体"/>
          <w:b/>
          <w:color w:val="000000"/>
          <w:sz w:val="24"/>
        </w:rPr>
      </w:pPr>
      <w:r>
        <w:rPr>
          <w:rFonts w:hint="eastAsia"/>
          <w:bCs/>
        </w:rPr>
        <w:t>信用记录查询结果：①信用记录查询的截止时点：信用记录查询的截止时点为本项目投标截止当日。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ascii="宋体" w:hAnsi="宋体" w:cs="宋体"/>
          <w:b/>
          <w:color w:val="000000"/>
          <w:sz w:val="24"/>
        </w:rPr>
        <w:t xml:space="preserve"> </w:t>
      </w:r>
    </w:p>
    <w:p w14:paraId="11C9ECCE">
      <w:pPr>
        <w:tabs>
          <w:tab w:val="left" w:pos="-1080"/>
          <w:tab w:val="left" w:pos="180"/>
          <w:tab w:val="left" w:pos="567"/>
          <w:tab w:val="left" w:pos="885"/>
          <w:tab w:val="left" w:pos="1080"/>
        </w:tabs>
        <w:snapToGrid w:val="0"/>
        <w:spacing w:line="440" w:lineRule="exact"/>
        <w:ind w:firstLine="482"/>
        <w:rPr>
          <w:rFonts w:ascii="宋体" w:cs="宋体"/>
          <w:b/>
          <w:color w:val="000000"/>
          <w:sz w:val="24"/>
        </w:rPr>
      </w:pPr>
      <w:r>
        <w:rPr>
          <w:rFonts w:hint="eastAsia" w:ascii="宋体" w:hAnsi="宋体" w:cs="宋体"/>
          <w:b/>
          <w:color w:val="000000"/>
          <w:sz w:val="24"/>
        </w:rPr>
        <w:t>评分标准</w:t>
      </w:r>
    </w:p>
    <w:p w14:paraId="525CC246">
      <w:pPr>
        <w:widowControl/>
        <w:ind w:firstLine="440" w:firstLineChars="200"/>
        <w:jc w:val="left"/>
        <w:rPr>
          <w:rFonts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本遴选项目满分为100分。各投标人的总评分=F1+F2+F3，其中商务分F1为</w:t>
      </w:r>
      <w:r>
        <w:rPr>
          <w:rFonts w:ascii="微软雅黑" w:hAnsi="微软雅黑" w:eastAsia="微软雅黑" w:cs="微软雅黑"/>
          <w:color w:val="000000"/>
          <w:kern w:val="0"/>
          <w:sz w:val="22"/>
          <w:szCs w:val="22"/>
        </w:rPr>
        <w:t>20</w:t>
      </w:r>
      <w:r>
        <w:rPr>
          <w:rFonts w:hint="eastAsia" w:ascii="微软雅黑" w:hAnsi="微软雅黑" w:eastAsia="微软雅黑" w:cs="微软雅黑"/>
          <w:color w:val="000000"/>
          <w:kern w:val="0"/>
          <w:sz w:val="22"/>
          <w:szCs w:val="22"/>
        </w:rPr>
        <w:t>分， 技术分F2为</w:t>
      </w:r>
      <w:r>
        <w:rPr>
          <w:rFonts w:ascii="微软雅黑" w:hAnsi="微软雅黑" w:eastAsia="微软雅黑" w:cs="微软雅黑"/>
          <w:color w:val="000000"/>
          <w:kern w:val="0"/>
          <w:sz w:val="22"/>
          <w:szCs w:val="22"/>
        </w:rPr>
        <w:t>65</w:t>
      </w:r>
      <w:r>
        <w:rPr>
          <w:rFonts w:hint="eastAsia" w:ascii="微软雅黑" w:hAnsi="微软雅黑" w:eastAsia="微软雅黑" w:cs="微软雅黑"/>
          <w:color w:val="000000"/>
          <w:kern w:val="0"/>
          <w:sz w:val="22"/>
          <w:szCs w:val="22"/>
        </w:rPr>
        <w:t>分，价格分F3为</w:t>
      </w:r>
      <w:r>
        <w:rPr>
          <w:rFonts w:ascii="微软雅黑" w:hAnsi="微软雅黑" w:eastAsia="微软雅黑" w:cs="微软雅黑"/>
          <w:color w:val="000000"/>
          <w:kern w:val="0"/>
          <w:sz w:val="22"/>
          <w:szCs w:val="22"/>
        </w:rPr>
        <w:t>15</w:t>
      </w:r>
      <w:r>
        <w:rPr>
          <w:rFonts w:hint="eastAsia" w:ascii="微软雅黑" w:hAnsi="微软雅黑" w:eastAsia="微软雅黑" w:cs="微软雅黑"/>
          <w:color w:val="000000"/>
          <w:kern w:val="0"/>
          <w:sz w:val="22"/>
          <w:szCs w:val="22"/>
        </w:rPr>
        <w:t>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10EF4719">
      <w:pPr>
        <w:widowControl/>
        <w:ind w:firstLine="440" w:firstLineChars="200"/>
        <w:jc w:val="left"/>
        <w:rPr>
          <w:rFonts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各评委取各自总评分最高者作为推荐中标合作供应商，最后中标供应商以评委组投票数最高者最终确认。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embedRegular r:id="rId1" w:fontKey="{8C8C61DB-11A6-4F2A-9F29-816B4A25FBF3}"/>
  </w:font>
  <w:font w:name="仿宋_GB2312">
    <w:panose1 w:val="02010609030101010101"/>
    <w:charset w:val="86"/>
    <w:family w:val="modern"/>
    <w:pitch w:val="default"/>
    <w:sig w:usb0="00000001" w:usb1="080E0000" w:usb2="00000000" w:usb3="00000000" w:csb0="00040000" w:csb1="00000000"/>
    <w:embedRegular r:id="rId2" w:fontKey="{905C4A90-1F32-4C13-B6DE-6F6A0A33FFBD}"/>
  </w:font>
  <w:font w:name="仿宋">
    <w:panose1 w:val="02010609060101010101"/>
    <w:charset w:val="86"/>
    <w:family w:val="modern"/>
    <w:pitch w:val="default"/>
    <w:sig w:usb0="800002BF" w:usb1="38CF7CFA" w:usb2="00000016" w:usb3="00000000" w:csb0="00040001" w:csb1="00000000"/>
    <w:embedRegular r:id="rId3" w:fontKey="{3642D2D6-7865-4B9B-8D79-1C28C87F11A2}"/>
  </w:font>
  <w:font w:name="微软雅黑">
    <w:panose1 w:val="020B0503020204020204"/>
    <w:charset w:val="86"/>
    <w:family w:val="swiss"/>
    <w:pitch w:val="default"/>
    <w:sig w:usb0="80000287" w:usb1="2ACF3C50" w:usb2="00000016" w:usb3="00000000" w:csb0="0004001F" w:csb1="00000000"/>
    <w:embedRegular r:id="rId4" w:fontKey="{707D3398-1F3B-4048-AE3E-21DEFD6921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0A0DB"/>
    <w:multiLevelType w:val="singleLevel"/>
    <w:tmpl w:val="4180A0DB"/>
    <w:lvl w:ilvl="0" w:tentative="0">
      <w:start w:val="1"/>
      <w:numFmt w:val="chineseCounting"/>
      <w:suff w:val="nothing"/>
      <w:lvlText w:val="%1、"/>
      <w:lvlJc w:val="left"/>
      <w:rPr>
        <w:rFonts w:hint="eastAsia"/>
      </w:rPr>
    </w:lvl>
  </w:abstractNum>
  <w:abstractNum w:abstractNumId="1">
    <w:nsid w:val="5ED01821"/>
    <w:multiLevelType w:val="multilevel"/>
    <w:tmpl w:val="5ED01821"/>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0OTBkN2MxNDNjODE1MjE4MmRlNGZhZjFhNWQ3MmYifQ=="/>
  </w:docVars>
  <w:rsids>
    <w:rsidRoot w:val="00080BD3"/>
    <w:rsid w:val="00011E36"/>
    <w:rsid w:val="00080BD3"/>
    <w:rsid w:val="000A3F1F"/>
    <w:rsid w:val="000D635F"/>
    <w:rsid w:val="0012379E"/>
    <w:rsid w:val="00180A5C"/>
    <w:rsid w:val="001D5523"/>
    <w:rsid w:val="00220265"/>
    <w:rsid w:val="00226133"/>
    <w:rsid w:val="00267903"/>
    <w:rsid w:val="0027167A"/>
    <w:rsid w:val="002853E1"/>
    <w:rsid w:val="002918FA"/>
    <w:rsid w:val="002A484E"/>
    <w:rsid w:val="002D018F"/>
    <w:rsid w:val="002E5D2F"/>
    <w:rsid w:val="0038023D"/>
    <w:rsid w:val="003A6D9C"/>
    <w:rsid w:val="00406D8E"/>
    <w:rsid w:val="00411877"/>
    <w:rsid w:val="004955C1"/>
    <w:rsid w:val="004C5AD8"/>
    <w:rsid w:val="004F6087"/>
    <w:rsid w:val="00500263"/>
    <w:rsid w:val="00516AB5"/>
    <w:rsid w:val="00522EA5"/>
    <w:rsid w:val="00552D59"/>
    <w:rsid w:val="005536CB"/>
    <w:rsid w:val="006B7B46"/>
    <w:rsid w:val="00754B98"/>
    <w:rsid w:val="00767B70"/>
    <w:rsid w:val="007716B0"/>
    <w:rsid w:val="007A47B3"/>
    <w:rsid w:val="007B1ADC"/>
    <w:rsid w:val="007B55A9"/>
    <w:rsid w:val="007C181E"/>
    <w:rsid w:val="007E4A1A"/>
    <w:rsid w:val="0088071A"/>
    <w:rsid w:val="00894ACE"/>
    <w:rsid w:val="00917E5F"/>
    <w:rsid w:val="00954AD6"/>
    <w:rsid w:val="009850B8"/>
    <w:rsid w:val="009C47C2"/>
    <w:rsid w:val="009F1E12"/>
    <w:rsid w:val="009F7883"/>
    <w:rsid w:val="00A07125"/>
    <w:rsid w:val="00A105CB"/>
    <w:rsid w:val="00AE78B6"/>
    <w:rsid w:val="00AF0C14"/>
    <w:rsid w:val="00AF7F2D"/>
    <w:rsid w:val="00B60504"/>
    <w:rsid w:val="00B94736"/>
    <w:rsid w:val="00BC12B5"/>
    <w:rsid w:val="00BC74D4"/>
    <w:rsid w:val="00BD50C8"/>
    <w:rsid w:val="00BE622D"/>
    <w:rsid w:val="00CB031A"/>
    <w:rsid w:val="00CC5F36"/>
    <w:rsid w:val="00CE6C89"/>
    <w:rsid w:val="00D05421"/>
    <w:rsid w:val="00D54BBD"/>
    <w:rsid w:val="00DD2356"/>
    <w:rsid w:val="00E34C61"/>
    <w:rsid w:val="00E61F6F"/>
    <w:rsid w:val="00EA550A"/>
    <w:rsid w:val="00EE4E73"/>
    <w:rsid w:val="00F430C0"/>
    <w:rsid w:val="00F559AF"/>
    <w:rsid w:val="00F92B39"/>
    <w:rsid w:val="01CB297C"/>
    <w:rsid w:val="024E4B4B"/>
    <w:rsid w:val="02D2752A"/>
    <w:rsid w:val="031138E4"/>
    <w:rsid w:val="0A7D08EF"/>
    <w:rsid w:val="0BF321CC"/>
    <w:rsid w:val="0C5A18DE"/>
    <w:rsid w:val="0FC84B6A"/>
    <w:rsid w:val="110414F5"/>
    <w:rsid w:val="11A67F1D"/>
    <w:rsid w:val="138E0413"/>
    <w:rsid w:val="139E2979"/>
    <w:rsid w:val="178A7F7B"/>
    <w:rsid w:val="17AB7F20"/>
    <w:rsid w:val="184721C3"/>
    <w:rsid w:val="18702CCD"/>
    <w:rsid w:val="18B53886"/>
    <w:rsid w:val="1B255BD0"/>
    <w:rsid w:val="1B5E59A7"/>
    <w:rsid w:val="1C3E1594"/>
    <w:rsid w:val="215D2DC3"/>
    <w:rsid w:val="27FC632B"/>
    <w:rsid w:val="28F96979"/>
    <w:rsid w:val="2C3F1B33"/>
    <w:rsid w:val="2C695F59"/>
    <w:rsid w:val="2C9129A5"/>
    <w:rsid w:val="33BE436E"/>
    <w:rsid w:val="36456C4F"/>
    <w:rsid w:val="37CB1876"/>
    <w:rsid w:val="38C8511B"/>
    <w:rsid w:val="3A431329"/>
    <w:rsid w:val="3C9C1A33"/>
    <w:rsid w:val="3CEA279F"/>
    <w:rsid w:val="3D6D517E"/>
    <w:rsid w:val="3E9D3EF0"/>
    <w:rsid w:val="418D1529"/>
    <w:rsid w:val="42167560"/>
    <w:rsid w:val="46690BD8"/>
    <w:rsid w:val="471843AC"/>
    <w:rsid w:val="47F00E85"/>
    <w:rsid w:val="4A4B039E"/>
    <w:rsid w:val="4A7F29C9"/>
    <w:rsid w:val="4ABD43D0"/>
    <w:rsid w:val="4AF36DF1"/>
    <w:rsid w:val="4BE11A5A"/>
    <w:rsid w:val="4EA4073F"/>
    <w:rsid w:val="535C6E92"/>
    <w:rsid w:val="55F1744D"/>
    <w:rsid w:val="5C8E79B5"/>
    <w:rsid w:val="5F764B7B"/>
    <w:rsid w:val="60FB7B42"/>
    <w:rsid w:val="61B75D77"/>
    <w:rsid w:val="63844E4C"/>
    <w:rsid w:val="6FA66C9D"/>
    <w:rsid w:val="73E7745D"/>
    <w:rsid w:val="74116287"/>
    <w:rsid w:val="743069A4"/>
    <w:rsid w:val="76B55972"/>
    <w:rsid w:val="77B252CF"/>
    <w:rsid w:val="7AAD3D95"/>
    <w:rsid w:val="7BA448B7"/>
    <w:rsid w:val="7F10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2"/>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font21"/>
    <w:basedOn w:val="8"/>
    <w:autoRedefine/>
    <w:qFormat/>
    <w:uiPriority w:val="0"/>
    <w:rPr>
      <w:rFonts w:hint="eastAsia" w:ascii="宋体" w:hAnsi="宋体" w:eastAsia="宋体" w:cs="宋体"/>
      <w:color w:val="000000"/>
      <w:sz w:val="20"/>
      <w:szCs w:val="20"/>
      <w:u w:val="none"/>
    </w:rPr>
  </w:style>
  <w:style w:type="character" w:customStyle="1" w:styleId="10">
    <w:name w:val="font41"/>
    <w:basedOn w:val="8"/>
    <w:autoRedefine/>
    <w:qFormat/>
    <w:uiPriority w:val="0"/>
    <w:rPr>
      <w:rFonts w:hint="default" w:ascii="Times New Roman" w:hAnsi="Times New Roman" w:cs="Times New Roman"/>
      <w:color w:val="000000"/>
      <w:sz w:val="20"/>
      <w:szCs w:val="20"/>
      <w:u w:val="none"/>
    </w:rPr>
  </w:style>
  <w:style w:type="character" w:customStyle="1" w:styleId="11">
    <w:name w:val="批注框文本 字符"/>
    <w:basedOn w:val="8"/>
    <w:link w:val="2"/>
    <w:autoRedefine/>
    <w:qFormat/>
    <w:uiPriority w:val="0"/>
    <w:rPr>
      <w:rFonts w:asciiTheme="minorHAnsi" w:hAnsiTheme="minorHAnsi" w:eastAsiaTheme="minorEastAsia" w:cstheme="minorBidi"/>
      <w:kern w:val="2"/>
      <w:sz w:val="18"/>
      <w:szCs w:val="18"/>
    </w:rPr>
  </w:style>
  <w:style w:type="character" w:customStyle="1" w:styleId="12">
    <w:name w:val="font31"/>
    <w:basedOn w:val="8"/>
    <w:autoRedefine/>
    <w:qFormat/>
    <w:uiPriority w:val="0"/>
    <w:rPr>
      <w:rFonts w:hint="default" w:ascii="Times New Roman" w:hAnsi="Times New Roman" w:cs="Times New Roman"/>
      <w:color w:val="000000"/>
      <w:sz w:val="20"/>
      <w:szCs w:val="20"/>
      <w:u w:val="none"/>
    </w:rPr>
  </w:style>
  <w:style w:type="character" w:customStyle="1" w:styleId="13">
    <w:name w:val="font51"/>
    <w:basedOn w:val="8"/>
    <w:autoRedefine/>
    <w:qFormat/>
    <w:uiPriority w:val="0"/>
    <w:rPr>
      <w:rFonts w:hint="default" w:ascii="Times New Roman" w:hAnsi="Times New Roman" w:cs="Times New Roman"/>
      <w:color w:val="000000"/>
      <w:sz w:val="20"/>
      <w:szCs w:val="20"/>
      <w:u w:val="none"/>
    </w:rPr>
  </w:style>
  <w:style w:type="character" w:customStyle="1" w:styleId="14">
    <w:name w:val="font61"/>
    <w:basedOn w:val="8"/>
    <w:autoRedefine/>
    <w:qFormat/>
    <w:uiPriority w:val="0"/>
    <w:rPr>
      <w:rFonts w:hint="default" w:ascii="Times New Roman" w:hAnsi="Times New Roman" w:cs="Times New Roman"/>
      <w:color w:val="000000"/>
      <w:sz w:val="20"/>
      <w:szCs w:val="20"/>
      <w:u w:val="none"/>
      <w:vertAlign w:val="subscript"/>
    </w:rPr>
  </w:style>
  <w:style w:type="character" w:customStyle="1" w:styleId="15">
    <w:name w:val="font11"/>
    <w:basedOn w:val="8"/>
    <w:qFormat/>
    <w:uiPriority w:val="0"/>
    <w:rPr>
      <w:rFonts w:hint="eastAsia" w:ascii="宋体" w:hAnsi="宋体" w:eastAsia="宋体" w:cs="宋体"/>
      <w:color w:val="000000"/>
      <w:sz w:val="24"/>
      <w:szCs w:val="24"/>
      <w:u w:val="none"/>
    </w:rPr>
  </w:style>
  <w:style w:type="character" w:customStyle="1" w:styleId="16">
    <w:name w:val="font71"/>
    <w:basedOn w:val="8"/>
    <w:qFormat/>
    <w:uiPriority w:val="0"/>
    <w:rPr>
      <w:rFonts w:hint="eastAsia" w:ascii="Microsoft JhengHei" w:hAnsi="Microsoft JhengHei" w:eastAsia="Microsoft JhengHei" w:cs="Microsoft JhengHei"/>
      <w:color w:val="000000"/>
      <w:sz w:val="22"/>
      <w:szCs w:val="22"/>
      <w:u w:val="none"/>
    </w:rPr>
  </w:style>
  <w:style w:type="character" w:customStyle="1" w:styleId="17">
    <w:name w:val="font101"/>
    <w:basedOn w:val="8"/>
    <w:qFormat/>
    <w:uiPriority w:val="0"/>
    <w:rPr>
      <w:rFonts w:hint="eastAsia" w:ascii="宋体" w:hAnsi="宋体" w:eastAsia="宋体" w:cs="宋体"/>
      <w:color w:val="000000"/>
      <w:sz w:val="22"/>
      <w:szCs w:val="22"/>
      <w:u w:val="none"/>
    </w:rPr>
  </w:style>
  <w:style w:type="character" w:customStyle="1" w:styleId="18">
    <w:name w:val="页眉 字符"/>
    <w:basedOn w:val="8"/>
    <w:link w:val="4"/>
    <w:qFormat/>
    <w:uiPriority w:val="0"/>
    <w:rPr>
      <w:rFonts w:asciiTheme="minorHAnsi" w:hAnsiTheme="minorHAnsi" w:eastAsiaTheme="minorEastAsia" w:cstheme="minorBidi"/>
      <w:kern w:val="2"/>
      <w:sz w:val="18"/>
      <w:szCs w:val="18"/>
    </w:rPr>
  </w:style>
  <w:style w:type="character" w:customStyle="1" w:styleId="19">
    <w:name w:val="页脚 字符"/>
    <w:basedOn w:val="8"/>
    <w:link w:val="3"/>
    <w:qFormat/>
    <w:uiPriority w:val="0"/>
    <w:rPr>
      <w:rFonts w:asciiTheme="minorHAnsi" w:hAnsiTheme="minorHAnsi" w:eastAsiaTheme="minorEastAsia" w:cstheme="minorBidi"/>
      <w:kern w:val="2"/>
      <w:sz w:val="18"/>
      <w:szCs w:val="18"/>
    </w:rPr>
  </w:style>
  <w:style w:type="paragraph" w:styleId="20">
    <w:name w:val="List Paragraph"/>
    <w:basedOn w:val="1"/>
    <w:qFormat/>
    <w:uiPriority w:val="34"/>
    <w:pPr>
      <w:ind w:firstLine="420" w:firstLineChars="200"/>
    </w:pPr>
    <w:rPr>
      <w:rFonts w:ascii="Calibri" w:hAnsi="Calibri" w:eastAsia="宋体" w:cs="Calibri"/>
      <w:szCs w:val="21"/>
    </w:rPr>
  </w:style>
  <w:style w:type="paragraph" w:customStyle="1" w:styleId="21">
    <w:name w:val="null3"/>
    <w:autoRedefine/>
    <w:hidden/>
    <w:qFormat/>
    <w:uiPriority w:val="0"/>
    <w:pPr>
      <w:framePr w:hSpace="180" w:wrap="around" w:vAnchor="text" w:hAnchor="page" w:x="1814" w:y="308"/>
      <w:suppressOverlap/>
    </w:pPr>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1710</Words>
  <Characters>1785</Characters>
  <Lines>25</Lines>
  <Paragraphs>7</Paragraphs>
  <TotalTime>101</TotalTime>
  <ScaleCrop>false</ScaleCrop>
  <LinksUpToDate>false</LinksUpToDate>
  <CharactersWithSpaces>1856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2023-04-03T08:49:00Z</dcterms:created>
  <dc:creator>bgs</dc:creator>
  <cp:lastModifiedBy>游弋</cp:lastModifiedBy>
  <cp:lastPrinted>2023-09-18T08:01:00Z</cp:lastPrinted>
  <dcterms:modified xsi:type="dcterms:W3CDTF">2025-05-13T02:56:17Z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6EB0E72DC72B44E49AB08A6FDF4ED674_13</vt:lpwstr>
  </property>
  <property fmtid="{D5CDD505-2E9C-101B-9397-08002B2CF9AE}" pid="4" name="KSOTemplateDocerSaveRecord">
    <vt:lpwstr>eyJoZGlkIjoiMzg0OTBkN2MxNDNjODE1MjE4MmRlNGZhZjFhNWQ3MmYiLCJ1c2VySWQiOiI0MjMwMTExNTYifQ==</vt:lpwstr>
  </property>
</Properties>
</file>